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1FE" w:rsidRPr="004C41FE" w:rsidRDefault="004C41FE" w:rsidP="004C41FE">
      <w:pPr>
        <w:spacing w:after="0" w:line="240" w:lineRule="auto"/>
        <w:rPr>
          <w:rFonts w:ascii="Times New Roman" w:hAnsi="Times New Roman" w:cs="Times New Roman"/>
        </w:rPr>
      </w:pP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sz w:val="28"/>
          <w:szCs w:val="28"/>
        </w:rPr>
        <w:t>ПРОЕКТ</w:t>
      </w:r>
    </w:p>
    <w:tbl>
      <w:tblPr>
        <w:tblpPr w:leftFromText="180" w:rightFromText="180" w:vertAnchor="text" w:horzAnchor="margin" w:tblpX="108" w:tblpY="181"/>
        <w:tblW w:w="9900" w:type="dxa"/>
        <w:tblLayout w:type="fixed"/>
        <w:tblLook w:val="0000"/>
      </w:tblPr>
      <w:tblGrid>
        <w:gridCol w:w="9900"/>
      </w:tblGrid>
      <w:tr w:rsidR="004C41FE" w:rsidRPr="004C41FE" w:rsidTr="00D07965">
        <w:tc>
          <w:tcPr>
            <w:tcW w:w="9900" w:type="dxa"/>
            <w:shd w:val="clear" w:color="auto" w:fill="auto"/>
          </w:tcPr>
          <w:p w:rsidR="004C41FE" w:rsidRPr="004C41FE" w:rsidRDefault="004C41FE" w:rsidP="004C41FE">
            <w:pPr>
              <w:pStyle w:val="a3"/>
              <w:jc w:val="center"/>
              <w:rPr>
                <w:sz w:val="28"/>
                <w:szCs w:val="28"/>
              </w:rPr>
            </w:pPr>
            <w:r w:rsidRPr="004C41FE">
              <w:rPr>
                <w:noProof/>
                <w:sz w:val="28"/>
                <w:szCs w:val="28"/>
              </w:rPr>
              <w:drawing>
                <wp:inline distT="0" distB="0" distL="0" distR="0">
                  <wp:extent cx="771525" cy="882650"/>
                  <wp:effectExtent l="19050" t="0" r="9525" b="0"/>
                  <wp:docPr id="1" name="Рисунок 1" descr="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города"/>
                          <pic:cNvPicPr>
                            <a:picLocks noChangeAspect="1" noChangeArrowheads="1"/>
                          </pic:cNvPicPr>
                        </pic:nvPicPr>
                        <pic:blipFill>
                          <a:blip r:embed="rId5"/>
                          <a:srcRect/>
                          <a:stretch>
                            <a:fillRect/>
                          </a:stretch>
                        </pic:blipFill>
                        <pic:spPr bwMode="auto">
                          <a:xfrm>
                            <a:off x="0" y="0"/>
                            <a:ext cx="771525" cy="882650"/>
                          </a:xfrm>
                          <a:prstGeom prst="rect">
                            <a:avLst/>
                          </a:prstGeom>
                          <a:noFill/>
                          <a:ln w="9525">
                            <a:noFill/>
                            <a:miter lim="800000"/>
                            <a:headEnd/>
                            <a:tailEnd/>
                          </a:ln>
                        </pic:spPr>
                      </pic:pic>
                    </a:graphicData>
                  </a:graphic>
                </wp:inline>
              </w:drawing>
            </w:r>
          </w:p>
          <w:p w:rsidR="004C41FE" w:rsidRPr="004C41FE" w:rsidRDefault="004C41FE" w:rsidP="004C41FE">
            <w:pPr>
              <w:pStyle w:val="a3"/>
              <w:jc w:val="center"/>
              <w:rPr>
                <w:sz w:val="28"/>
                <w:szCs w:val="28"/>
              </w:rPr>
            </w:pPr>
          </w:p>
          <w:p w:rsidR="004C41FE" w:rsidRPr="004C41FE" w:rsidRDefault="004C41FE" w:rsidP="004C41FE">
            <w:pPr>
              <w:pStyle w:val="a3"/>
              <w:tabs>
                <w:tab w:val="clear" w:pos="4153"/>
                <w:tab w:val="center" w:pos="4551"/>
              </w:tabs>
              <w:jc w:val="center"/>
              <w:rPr>
                <w:sz w:val="28"/>
                <w:szCs w:val="28"/>
              </w:rPr>
            </w:pPr>
            <w:r w:rsidRPr="004C41FE">
              <w:rPr>
                <w:sz w:val="28"/>
                <w:szCs w:val="28"/>
              </w:rPr>
              <w:t>СОБРАНИЕ  ДЕПУТАТОВ  ПЛАСТОВСКОГО МУНИЦИПАЛЬНОГО РАЙОНА</w:t>
            </w:r>
          </w:p>
          <w:p w:rsidR="004C41FE" w:rsidRPr="004C41FE" w:rsidRDefault="004C41FE" w:rsidP="004C41FE">
            <w:pPr>
              <w:pStyle w:val="a3"/>
              <w:jc w:val="center"/>
              <w:rPr>
                <w:sz w:val="28"/>
                <w:szCs w:val="28"/>
              </w:rPr>
            </w:pPr>
          </w:p>
          <w:p w:rsidR="004C41FE" w:rsidRPr="004C41FE" w:rsidRDefault="004C41FE" w:rsidP="004C41FE">
            <w:pPr>
              <w:pStyle w:val="a3"/>
              <w:pBdr>
                <w:bottom w:val="single" w:sz="12" w:space="1" w:color="auto"/>
              </w:pBdr>
              <w:jc w:val="center"/>
              <w:rPr>
                <w:sz w:val="40"/>
                <w:szCs w:val="40"/>
              </w:rPr>
            </w:pPr>
            <w:proofErr w:type="gramStart"/>
            <w:r w:rsidRPr="004C41FE">
              <w:rPr>
                <w:sz w:val="40"/>
                <w:szCs w:val="40"/>
              </w:rPr>
              <w:t>Р</w:t>
            </w:r>
            <w:proofErr w:type="gramEnd"/>
            <w:r w:rsidRPr="004C41FE">
              <w:rPr>
                <w:sz w:val="40"/>
                <w:szCs w:val="40"/>
              </w:rPr>
              <w:t xml:space="preserve"> Е Ш Е Н И Е</w:t>
            </w:r>
          </w:p>
          <w:p w:rsidR="004C41FE" w:rsidRPr="004C41FE" w:rsidRDefault="004C41FE" w:rsidP="004C41FE">
            <w:pPr>
              <w:pStyle w:val="a3"/>
              <w:jc w:val="center"/>
              <w:rPr>
                <w:sz w:val="28"/>
                <w:szCs w:val="28"/>
              </w:rPr>
            </w:pPr>
          </w:p>
          <w:p w:rsidR="004C41FE" w:rsidRPr="004C41FE" w:rsidRDefault="004C41FE" w:rsidP="004C41FE">
            <w:pPr>
              <w:pStyle w:val="a3"/>
              <w:rPr>
                <w:sz w:val="28"/>
                <w:szCs w:val="28"/>
              </w:rPr>
            </w:pPr>
            <w:r w:rsidRPr="004C41FE">
              <w:rPr>
                <w:sz w:val="28"/>
                <w:szCs w:val="28"/>
              </w:rPr>
              <w:t>«______»___________2019 г.                                                                       № ____</w:t>
            </w:r>
          </w:p>
          <w:p w:rsidR="004C41FE" w:rsidRPr="004C41FE" w:rsidRDefault="004C41FE" w:rsidP="004C41FE">
            <w:pPr>
              <w:pStyle w:val="a3"/>
              <w:rPr>
                <w:sz w:val="16"/>
                <w:szCs w:val="16"/>
              </w:rPr>
            </w:pPr>
          </w:p>
        </w:tc>
      </w:tr>
    </w:tbl>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 xml:space="preserve">О  принятии  Стратегии  </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 xml:space="preserve">социально-экономического  развития  </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 xml:space="preserve">Пластовского  муниципального  </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района  до  2035  года</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Рассмотрев  прое</w:t>
      </w:r>
      <w:proofErr w:type="gramStart"/>
      <w:r w:rsidRPr="004C41FE">
        <w:rPr>
          <w:rFonts w:ascii="Times New Roman" w:hAnsi="Times New Roman" w:cs="Times New Roman"/>
          <w:sz w:val="28"/>
          <w:szCs w:val="28"/>
        </w:rPr>
        <w:t>кт Стр</w:t>
      </w:r>
      <w:proofErr w:type="gramEnd"/>
      <w:r w:rsidRPr="004C41FE">
        <w:rPr>
          <w:rFonts w:ascii="Times New Roman" w:hAnsi="Times New Roman" w:cs="Times New Roman"/>
          <w:sz w:val="28"/>
          <w:szCs w:val="28"/>
        </w:rPr>
        <w:t xml:space="preserve">атегии  социально-экономического  развития  Пластовского  муниципального  района  до  2035  года,  представленный  заместителем  главы  Пластовского  муниципального  района  по  управлению  экономикой  и  муниципальным  имуществом С.А. Федорцовой,  в  целях  создания  условий  для  стабильного  развития   экономики  Пластовского  муниципального  района,  повышения  благосостояния  и качества  жизни  населения,  Собрание  депутатов  Пластовского  муниципального  района </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sz w:val="28"/>
          <w:szCs w:val="28"/>
        </w:rPr>
        <w:t>РЕШАЕТ:</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1. Принять  Стратегию  социально-экономического  развития  Пластовского  муниципального  района  до  2035  года  согласно   приложению.</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2. Признать утратившим силу решение Собрания депутатов Пластовского муниципального района от 14.12.2015 г. №152                          «О  принятии  Стратегии  социально-экономического  развития Пластовского муниципального  района  до  2020  года».</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 xml:space="preserve">3. Ответственность  за  исполнение    настоящего  решения  возложить  на  заместителя  главы  Пластовского  муниципального  района  по  </w:t>
      </w:r>
      <w:r w:rsidRPr="004C41FE">
        <w:rPr>
          <w:rFonts w:ascii="Times New Roman" w:hAnsi="Times New Roman" w:cs="Times New Roman"/>
          <w:sz w:val="28"/>
          <w:szCs w:val="28"/>
        </w:rPr>
        <w:lastRenderedPageBreak/>
        <w:t>управлению            экономикой         и         муниципальным     имуществом  С.А. Федорцову.</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4. Контроль  исполнения  настоящего  решения  поручить  постоянной  депутатской комиссии  по  бюджету  и  экономике  (Л.А. Воронина).</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5. Настоящее  решение  вступает  в  силу  с  момента  принятия.</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Председатель Собрания депутатов</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Пластовского муниципального района                                                 Н.Н. Рябов</w:t>
      </w:r>
    </w:p>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 xml:space="preserve">Глава  Пластовского   </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муниципального  района</w:t>
      </w:r>
      <w:r w:rsidRPr="004C41FE">
        <w:rPr>
          <w:rFonts w:ascii="Times New Roman" w:hAnsi="Times New Roman" w:cs="Times New Roman"/>
          <w:sz w:val="28"/>
          <w:szCs w:val="28"/>
        </w:rPr>
        <w:tab/>
      </w:r>
      <w:r w:rsidRPr="004C41FE">
        <w:rPr>
          <w:rFonts w:ascii="Times New Roman" w:hAnsi="Times New Roman" w:cs="Times New Roman"/>
          <w:sz w:val="28"/>
          <w:szCs w:val="28"/>
        </w:rPr>
        <w:tab/>
        <w:t xml:space="preserve">          </w:t>
      </w:r>
      <w:r w:rsidRPr="004C41FE">
        <w:rPr>
          <w:rFonts w:ascii="Times New Roman" w:hAnsi="Times New Roman" w:cs="Times New Roman"/>
          <w:sz w:val="28"/>
          <w:szCs w:val="28"/>
        </w:rPr>
        <w:tab/>
      </w:r>
      <w:r w:rsidRPr="004C41FE">
        <w:rPr>
          <w:rFonts w:ascii="Times New Roman" w:hAnsi="Times New Roman" w:cs="Times New Roman"/>
          <w:sz w:val="28"/>
          <w:szCs w:val="28"/>
        </w:rPr>
        <w:tab/>
        <w:t xml:space="preserve">                    </w:t>
      </w:r>
      <w:r w:rsidRPr="004C41FE">
        <w:rPr>
          <w:rFonts w:ascii="Times New Roman" w:hAnsi="Times New Roman" w:cs="Times New Roman"/>
          <w:sz w:val="28"/>
          <w:szCs w:val="28"/>
        </w:rPr>
        <w:tab/>
        <w:t xml:space="preserve">      А.В. Неклюдов </w:t>
      </w: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Default="004C41FE" w:rsidP="004C41FE">
      <w:pPr>
        <w:spacing w:after="0" w:line="240" w:lineRule="auto"/>
        <w:jc w:val="right"/>
        <w:rPr>
          <w:rFonts w:ascii="Times New Roman" w:hAnsi="Times New Roman" w:cs="Times New Roman"/>
          <w:sz w:val="28"/>
          <w:szCs w:val="28"/>
        </w:rPr>
      </w:pPr>
    </w:p>
    <w:p w:rsid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sz w:val="28"/>
          <w:szCs w:val="28"/>
        </w:rPr>
        <w:lastRenderedPageBreak/>
        <w:t xml:space="preserve">Приложение </w:t>
      </w: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sz w:val="28"/>
          <w:szCs w:val="28"/>
        </w:rPr>
        <w:t xml:space="preserve">к решению Собрания депутатов </w:t>
      </w: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sz w:val="28"/>
          <w:szCs w:val="28"/>
        </w:rPr>
        <w:t>Пластовского муниципального района</w:t>
      </w: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sz w:val="28"/>
          <w:szCs w:val="28"/>
        </w:rPr>
        <w:t>от «___»_____________2019г. №___</w:t>
      </w:r>
    </w:p>
    <w:p w:rsidR="004C41FE" w:rsidRPr="004C41FE" w:rsidRDefault="004C41FE" w:rsidP="004C41FE">
      <w:pPr>
        <w:spacing w:after="0" w:line="240" w:lineRule="auto"/>
        <w:ind w:firstLine="851"/>
        <w:rPr>
          <w:rFonts w:ascii="Times New Roman" w:hAnsi="Times New Roman" w:cs="Times New Roman"/>
        </w:rPr>
      </w:pPr>
    </w:p>
    <w:p w:rsidR="004C41FE" w:rsidRPr="004C41FE" w:rsidRDefault="004C41FE" w:rsidP="004C41FE">
      <w:pPr>
        <w:pStyle w:val="a6"/>
        <w:spacing w:after="0"/>
        <w:ind w:firstLine="851"/>
        <w:jc w:val="center"/>
        <w:rPr>
          <w:sz w:val="40"/>
          <w:szCs w:val="40"/>
        </w:rPr>
      </w:pPr>
    </w:p>
    <w:p w:rsidR="004C41FE" w:rsidRPr="004C41FE" w:rsidRDefault="004C41FE" w:rsidP="004C41FE">
      <w:pPr>
        <w:pStyle w:val="a6"/>
        <w:spacing w:after="0"/>
        <w:jc w:val="center"/>
        <w:rPr>
          <w:sz w:val="28"/>
          <w:szCs w:val="28"/>
        </w:rPr>
      </w:pPr>
      <w:r w:rsidRPr="004C41FE">
        <w:rPr>
          <w:sz w:val="28"/>
          <w:szCs w:val="28"/>
        </w:rPr>
        <w:t>Стратегия</w:t>
      </w:r>
    </w:p>
    <w:p w:rsidR="004C41FE" w:rsidRPr="004C41FE" w:rsidRDefault="004C41FE" w:rsidP="004C41FE">
      <w:pPr>
        <w:pStyle w:val="a6"/>
        <w:spacing w:after="0"/>
        <w:ind w:firstLine="851"/>
        <w:jc w:val="center"/>
        <w:rPr>
          <w:sz w:val="28"/>
          <w:szCs w:val="28"/>
        </w:rPr>
      </w:pPr>
      <w:r w:rsidRPr="004C41FE">
        <w:rPr>
          <w:sz w:val="28"/>
          <w:szCs w:val="28"/>
        </w:rPr>
        <w:t>социально-экономического развития Пластовского муниципального района до 2035 года</w:t>
      </w:r>
    </w:p>
    <w:p w:rsidR="004C41FE" w:rsidRDefault="004C41FE" w:rsidP="004C41FE">
      <w:pPr>
        <w:spacing w:after="0" w:line="240" w:lineRule="auto"/>
        <w:ind w:firstLine="851"/>
        <w:jc w:val="center"/>
        <w:rPr>
          <w:rFonts w:ascii="Times New Roman" w:hAnsi="Times New Roman" w:cs="Times New Roman"/>
          <w:sz w:val="28"/>
          <w:szCs w:val="28"/>
        </w:rPr>
      </w:pPr>
    </w:p>
    <w:p w:rsidR="004C41FE" w:rsidRPr="004C41FE" w:rsidRDefault="004C41FE" w:rsidP="004C41FE">
      <w:pPr>
        <w:spacing w:after="0" w:line="240" w:lineRule="auto"/>
        <w:ind w:firstLine="851"/>
        <w:jc w:val="center"/>
        <w:rPr>
          <w:rFonts w:ascii="Times New Roman" w:hAnsi="Times New Roman" w:cs="Times New Roman"/>
          <w:sz w:val="28"/>
          <w:szCs w:val="28"/>
        </w:rPr>
      </w:pPr>
      <w:r w:rsidRPr="004C41FE">
        <w:rPr>
          <w:rFonts w:ascii="Times New Roman" w:hAnsi="Times New Roman" w:cs="Times New Roman"/>
          <w:sz w:val="28"/>
          <w:szCs w:val="28"/>
        </w:rPr>
        <w:t>ВВЕДЕНИЕ</w:t>
      </w:r>
    </w:p>
    <w:p w:rsidR="004C41FE" w:rsidRPr="004C41FE" w:rsidRDefault="004C41FE" w:rsidP="004C41FE">
      <w:pPr>
        <w:spacing w:after="0" w:line="240" w:lineRule="auto"/>
        <w:ind w:firstLine="851"/>
        <w:jc w:val="center"/>
        <w:rPr>
          <w:rFonts w:ascii="Times New Roman" w:hAnsi="Times New Roman" w:cs="Times New Roman"/>
          <w:sz w:val="28"/>
          <w:szCs w:val="28"/>
        </w:rPr>
      </w:pPr>
    </w:p>
    <w:p w:rsidR="004C41FE" w:rsidRPr="004C41FE" w:rsidRDefault="004C41FE" w:rsidP="004C41FE">
      <w:pPr>
        <w:shd w:val="clear" w:color="auto" w:fill="FFFFFF"/>
        <w:spacing w:after="0" w:line="240" w:lineRule="auto"/>
        <w:ind w:firstLine="725"/>
        <w:jc w:val="both"/>
        <w:rPr>
          <w:rFonts w:ascii="Times New Roman" w:hAnsi="Times New Roman" w:cs="Times New Roman"/>
          <w:sz w:val="28"/>
          <w:szCs w:val="28"/>
        </w:rPr>
      </w:pPr>
      <w:r w:rsidRPr="004C41FE">
        <w:rPr>
          <w:rFonts w:ascii="Times New Roman" w:hAnsi="Times New Roman" w:cs="Times New Roman"/>
          <w:sz w:val="28"/>
          <w:szCs w:val="28"/>
        </w:rPr>
        <w:t>Основной целью разработки и реализации Стратегии социально - экономического развития Пластовского муниципального района до 2035 года (далее - стратегия) является повышение уровня и качества жизни населения муниципального района, формирование благоприятных условий социально-экономического развития района на долгосрочную перспективу.</w:t>
      </w:r>
    </w:p>
    <w:p w:rsidR="004C41FE" w:rsidRPr="004C41FE" w:rsidRDefault="004C41FE" w:rsidP="004C41FE">
      <w:pPr>
        <w:shd w:val="clear" w:color="auto" w:fill="FFFFFF"/>
        <w:spacing w:after="0" w:line="240" w:lineRule="auto"/>
        <w:ind w:firstLine="701"/>
        <w:jc w:val="both"/>
        <w:rPr>
          <w:rFonts w:ascii="Times New Roman" w:hAnsi="Times New Roman" w:cs="Times New Roman"/>
          <w:sz w:val="28"/>
          <w:szCs w:val="28"/>
        </w:rPr>
      </w:pPr>
      <w:r w:rsidRPr="004C41FE">
        <w:rPr>
          <w:rFonts w:ascii="Times New Roman" w:hAnsi="Times New Roman" w:cs="Times New Roman"/>
          <w:sz w:val="28"/>
          <w:szCs w:val="28"/>
        </w:rPr>
        <w:t>Необходимыми составляющими полноценной и достойной жизни каждого человека, являются материальное благосостояние, комфортные условия жизни и возможность самореализации - деятельного проявления своего творческого, интеллектуального, духовного потенциала себя, как личности. Таким образом, приоритетами социального развития, обеспечивающими всестороннее развитие человека и приумножение человеческого капитала, являются три социальных приоритета - самореализация, благосостояние, комфортная среда.</w:t>
      </w:r>
    </w:p>
    <w:p w:rsidR="004C41FE" w:rsidRPr="004C41FE" w:rsidRDefault="004C41FE" w:rsidP="004C41FE">
      <w:pPr>
        <w:shd w:val="clear" w:color="auto" w:fill="FFFFFF"/>
        <w:spacing w:after="0" w:line="240" w:lineRule="auto"/>
        <w:ind w:firstLine="696"/>
        <w:jc w:val="both"/>
        <w:rPr>
          <w:rFonts w:ascii="Times New Roman" w:hAnsi="Times New Roman" w:cs="Times New Roman"/>
          <w:sz w:val="28"/>
          <w:szCs w:val="28"/>
        </w:rPr>
      </w:pPr>
      <w:r w:rsidRPr="004C41FE">
        <w:rPr>
          <w:rFonts w:ascii="Times New Roman" w:hAnsi="Times New Roman" w:cs="Times New Roman"/>
          <w:sz w:val="28"/>
          <w:szCs w:val="28"/>
        </w:rPr>
        <w:t>Реализация данных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улучшения качества окружающей среды обеспечит постоянное и устойчивое повышение качества жизни населения Пластовского муниципального района (далее – муниципальный район).</w:t>
      </w:r>
    </w:p>
    <w:p w:rsidR="004C41FE" w:rsidRPr="004C41FE" w:rsidRDefault="004C41FE" w:rsidP="004C41FE">
      <w:pPr>
        <w:shd w:val="clear" w:color="auto" w:fill="FFFFFF"/>
        <w:spacing w:after="0" w:line="240" w:lineRule="auto"/>
        <w:ind w:firstLine="696"/>
        <w:jc w:val="both"/>
        <w:rPr>
          <w:rFonts w:ascii="Times New Roman" w:hAnsi="Times New Roman" w:cs="Times New Roman"/>
          <w:sz w:val="28"/>
          <w:szCs w:val="28"/>
        </w:rPr>
      </w:pPr>
      <w:r w:rsidRPr="004C41FE">
        <w:rPr>
          <w:rFonts w:ascii="Times New Roman" w:hAnsi="Times New Roman" w:cs="Times New Roman"/>
          <w:sz w:val="28"/>
          <w:szCs w:val="28"/>
        </w:rPr>
        <w:t xml:space="preserve">Поскольку основой жизнеобеспечения человека служит экономика, то источником </w:t>
      </w:r>
      <w:r w:rsidRPr="004C41FE">
        <w:rPr>
          <w:rFonts w:ascii="Times New Roman" w:hAnsi="Times New Roman" w:cs="Times New Roman"/>
          <w:spacing w:val="-1"/>
          <w:sz w:val="28"/>
          <w:szCs w:val="28"/>
        </w:rPr>
        <w:t xml:space="preserve">высокого качества жизни и наращивания человеческого капитала должно стать создание в </w:t>
      </w:r>
      <w:r w:rsidRPr="004C41FE">
        <w:rPr>
          <w:rFonts w:ascii="Times New Roman" w:hAnsi="Times New Roman" w:cs="Times New Roman"/>
          <w:sz w:val="28"/>
          <w:szCs w:val="28"/>
        </w:rPr>
        <w:t xml:space="preserve">муниципальном районе эффективной и социально-ориентированной экономики. В свою очередь, повышение качества жизни, наращивание человеческого капитала - важнейшие предпосылки экономического роста, интенсивного и инновационного типа, способного </w:t>
      </w:r>
      <w:r w:rsidRPr="004C41FE">
        <w:rPr>
          <w:rFonts w:ascii="Times New Roman" w:hAnsi="Times New Roman" w:cs="Times New Roman"/>
          <w:spacing w:val="-1"/>
          <w:sz w:val="28"/>
          <w:szCs w:val="28"/>
        </w:rPr>
        <w:t>обеспечить необходимую эффективность региональной экономики.</w:t>
      </w:r>
    </w:p>
    <w:p w:rsidR="004C41FE" w:rsidRPr="004C41FE" w:rsidRDefault="004C41FE" w:rsidP="004C41FE">
      <w:pPr>
        <w:shd w:val="clear" w:color="auto" w:fill="FFFFFF"/>
        <w:spacing w:after="0" w:line="240" w:lineRule="auto"/>
        <w:ind w:firstLine="696"/>
        <w:jc w:val="both"/>
        <w:rPr>
          <w:rFonts w:ascii="Times New Roman" w:hAnsi="Times New Roman" w:cs="Times New Roman"/>
          <w:sz w:val="28"/>
          <w:szCs w:val="28"/>
        </w:rPr>
      </w:pPr>
      <w:r w:rsidRPr="004C41FE">
        <w:rPr>
          <w:rFonts w:ascii="Times New Roman" w:hAnsi="Times New Roman" w:cs="Times New Roman"/>
          <w:sz w:val="28"/>
          <w:szCs w:val="28"/>
        </w:rPr>
        <w:t>Приоритетами экономического развития муниципального района, учитывая конкурентные преимущества, потенциал развития и стратегическую значимость, в предстоящие годы станут следующие два:</w:t>
      </w:r>
    </w:p>
    <w:p w:rsidR="004C41FE" w:rsidRPr="004C41FE" w:rsidRDefault="004C41FE" w:rsidP="004C41FE">
      <w:pPr>
        <w:widowControl w:val="0"/>
        <w:numPr>
          <w:ilvl w:val="0"/>
          <w:numId w:val="3"/>
        </w:numPr>
        <w:shd w:val="clear" w:color="auto" w:fill="FFFFFF"/>
        <w:tabs>
          <w:tab w:val="left" w:pos="998"/>
        </w:tabs>
        <w:autoSpaceDE w:val="0"/>
        <w:autoSpaceDN w:val="0"/>
        <w:adjustRightInd w:val="0"/>
        <w:spacing w:after="0" w:line="240" w:lineRule="auto"/>
        <w:ind w:firstLine="706"/>
        <w:jc w:val="both"/>
        <w:rPr>
          <w:rFonts w:ascii="Times New Roman" w:hAnsi="Times New Roman" w:cs="Times New Roman"/>
          <w:spacing w:val="-18"/>
          <w:sz w:val="28"/>
          <w:szCs w:val="28"/>
        </w:rPr>
      </w:pPr>
      <w:r w:rsidRPr="004C41FE">
        <w:rPr>
          <w:rFonts w:ascii="Times New Roman" w:hAnsi="Times New Roman" w:cs="Times New Roman"/>
          <w:sz w:val="28"/>
          <w:szCs w:val="28"/>
        </w:rPr>
        <w:t xml:space="preserve">развитие базовых </w:t>
      </w:r>
      <w:proofErr w:type="spellStart"/>
      <w:r w:rsidRPr="004C41FE">
        <w:rPr>
          <w:rFonts w:ascii="Times New Roman" w:hAnsi="Times New Roman" w:cs="Times New Roman"/>
          <w:sz w:val="28"/>
          <w:szCs w:val="28"/>
        </w:rPr>
        <w:t>бюджетообразующих</w:t>
      </w:r>
      <w:proofErr w:type="spellEnd"/>
      <w:r w:rsidRPr="004C41FE">
        <w:rPr>
          <w:rFonts w:ascii="Times New Roman" w:hAnsi="Times New Roman" w:cs="Times New Roman"/>
          <w:sz w:val="28"/>
          <w:szCs w:val="28"/>
        </w:rPr>
        <w:t xml:space="preserve"> отраслей, обеспечивающих максимальный вклад в экономику муниципального района;</w:t>
      </w:r>
    </w:p>
    <w:p w:rsidR="004C41FE" w:rsidRPr="004C41FE" w:rsidRDefault="004C41FE" w:rsidP="004C41FE">
      <w:pPr>
        <w:widowControl w:val="0"/>
        <w:numPr>
          <w:ilvl w:val="0"/>
          <w:numId w:val="3"/>
        </w:numPr>
        <w:shd w:val="clear" w:color="auto" w:fill="FFFFFF"/>
        <w:tabs>
          <w:tab w:val="left" w:pos="998"/>
        </w:tabs>
        <w:autoSpaceDE w:val="0"/>
        <w:autoSpaceDN w:val="0"/>
        <w:adjustRightInd w:val="0"/>
        <w:spacing w:after="0" w:line="240" w:lineRule="auto"/>
        <w:ind w:firstLine="706"/>
        <w:jc w:val="both"/>
        <w:rPr>
          <w:rFonts w:ascii="Times New Roman" w:hAnsi="Times New Roman" w:cs="Times New Roman"/>
          <w:spacing w:val="-7"/>
          <w:sz w:val="28"/>
          <w:szCs w:val="28"/>
        </w:rPr>
      </w:pPr>
      <w:r w:rsidRPr="004C41FE">
        <w:rPr>
          <w:rFonts w:ascii="Times New Roman" w:hAnsi="Times New Roman" w:cs="Times New Roman"/>
          <w:sz w:val="28"/>
          <w:szCs w:val="28"/>
        </w:rPr>
        <w:t xml:space="preserve">развитие новой экономики, основанной на достижениях современной </w:t>
      </w:r>
      <w:r w:rsidRPr="004C41FE">
        <w:rPr>
          <w:rFonts w:ascii="Times New Roman" w:hAnsi="Times New Roman" w:cs="Times New Roman"/>
          <w:sz w:val="28"/>
          <w:szCs w:val="28"/>
        </w:rPr>
        <w:lastRenderedPageBreak/>
        <w:t>науки, развитии инноваций и производстве продукции с высокой добавленной стоимостью.</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sz w:val="28"/>
          <w:szCs w:val="28"/>
        </w:rPr>
        <w:t>Стратегия развития Пластовского муниципального района не является остановленным моментом его социально-экономического положения, а предполагает поступательное движение стратегического управления, в ходе которого идёт уточнение и корректировка действий под влиянием изменения факторов внутренней и внешней среды.</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spacing w:val="-1"/>
          <w:sz w:val="28"/>
          <w:szCs w:val="28"/>
        </w:rPr>
        <w:t>Стратегия выполняет две важные функции:</w:t>
      </w:r>
    </w:p>
    <w:p w:rsidR="004C41FE" w:rsidRPr="004C41FE" w:rsidRDefault="004C41FE" w:rsidP="004C41FE">
      <w:pPr>
        <w:widowControl w:val="0"/>
        <w:numPr>
          <w:ilvl w:val="0"/>
          <w:numId w:val="4"/>
        </w:numPr>
        <w:shd w:val="clear" w:color="auto" w:fill="FFFFFF"/>
        <w:tabs>
          <w:tab w:val="left" w:pos="994"/>
        </w:tabs>
        <w:autoSpaceDE w:val="0"/>
        <w:autoSpaceDN w:val="0"/>
        <w:adjustRightInd w:val="0"/>
        <w:spacing w:after="0" w:line="240" w:lineRule="auto"/>
        <w:ind w:firstLine="701"/>
        <w:jc w:val="both"/>
        <w:rPr>
          <w:rFonts w:ascii="Times New Roman" w:hAnsi="Times New Roman" w:cs="Times New Roman"/>
          <w:bCs/>
          <w:sz w:val="28"/>
          <w:szCs w:val="28"/>
        </w:rPr>
      </w:pPr>
      <w:r w:rsidRPr="004C41FE">
        <w:rPr>
          <w:rFonts w:ascii="Times New Roman" w:hAnsi="Times New Roman" w:cs="Times New Roman"/>
          <w:sz w:val="28"/>
          <w:szCs w:val="28"/>
        </w:rPr>
        <w:t>выбирает сценарий развития общества, с учетом имеющихся ресурсов и возможностей;</w:t>
      </w:r>
    </w:p>
    <w:p w:rsidR="004C41FE" w:rsidRPr="004C41FE" w:rsidRDefault="004C41FE" w:rsidP="004C41FE">
      <w:pPr>
        <w:widowControl w:val="0"/>
        <w:numPr>
          <w:ilvl w:val="0"/>
          <w:numId w:val="4"/>
        </w:numPr>
        <w:shd w:val="clear" w:color="auto" w:fill="FFFFFF"/>
        <w:tabs>
          <w:tab w:val="left" w:pos="994"/>
        </w:tabs>
        <w:autoSpaceDE w:val="0"/>
        <w:autoSpaceDN w:val="0"/>
        <w:adjustRightInd w:val="0"/>
        <w:spacing w:after="0" w:line="240" w:lineRule="auto"/>
        <w:ind w:firstLine="701"/>
        <w:jc w:val="both"/>
        <w:rPr>
          <w:rFonts w:ascii="Times New Roman" w:hAnsi="Times New Roman" w:cs="Times New Roman"/>
          <w:bCs/>
          <w:sz w:val="28"/>
          <w:szCs w:val="28"/>
        </w:rPr>
      </w:pPr>
      <w:r w:rsidRPr="004C41FE">
        <w:rPr>
          <w:rFonts w:ascii="Times New Roman" w:hAnsi="Times New Roman" w:cs="Times New Roman"/>
          <w:sz w:val="28"/>
          <w:szCs w:val="28"/>
        </w:rPr>
        <w:t>устанавливает план действий, которые позволили бы реализовать выбранный сценарий.</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sz w:val="28"/>
          <w:szCs w:val="28"/>
        </w:rPr>
        <w:t>Стратегия является фактором инвестиционной привлекательности района. Само наличие у района стратегического плана развития и инвестиционного паспорта зачастую благоприятно влияет на мнение потенциальных инвесторов о районе и таким образом, улучшает инвестиционный климат.</w:t>
      </w:r>
    </w:p>
    <w:p w:rsidR="004C41FE" w:rsidRPr="004C41FE" w:rsidRDefault="004C41FE" w:rsidP="004C41FE">
      <w:pPr>
        <w:shd w:val="clear" w:color="auto" w:fill="FFFFFF"/>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Основополагающими принципами формирования Стратегии 2035 являются:</w:t>
      </w:r>
    </w:p>
    <w:p w:rsidR="004C41FE" w:rsidRPr="004C41FE" w:rsidRDefault="004C41FE" w:rsidP="004C41FE">
      <w:pPr>
        <w:shd w:val="clear" w:color="auto" w:fill="FFFFFF"/>
        <w:tabs>
          <w:tab w:val="left" w:pos="917"/>
        </w:tabs>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bCs/>
          <w:sz w:val="28"/>
          <w:szCs w:val="28"/>
        </w:rPr>
        <w:t>-</w:t>
      </w:r>
      <w:r w:rsidRPr="004C41FE">
        <w:rPr>
          <w:rFonts w:ascii="Times New Roman" w:hAnsi="Times New Roman" w:cs="Times New Roman"/>
          <w:bCs/>
          <w:sz w:val="28"/>
          <w:szCs w:val="28"/>
        </w:rPr>
        <w:tab/>
      </w:r>
      <w:r w:rsidRPr="004C41FE">
        <w:rPr>
          <w:rFonts w:ascii="Times New Roman" w:hAnsi="Times New Roman" w:cs="Times New Roman"/>
          <w:sz w:val="28"/>
          <w:szCs w:val="28"/>
        </w:rPr>
        <w:t>обеспечение устойчивого социально-экономического развития муниципального района;</w:t>
      </w:r>
    </w:p>
    <w:p w:rsidR="004C41FE" w:rsidRPr="004C41FE" w:rsidRDefault="004C41FE" w:rsidP="004C41FE">
      <w:pPr>
        <w:shd w:val="clear" w:color="auto" w:fill="FFFFFF"/>
        <w:spacing w:after="0" w:line="240" w:lineRule="auto"/>
        <w:ind w:firstLine="701"/>
        <w:jc w:val="both"/>
        <w:rPr>
          <w:rFonts w:ascii="Times New Roman" w:hAnsi="Times New Roman" w:cs="Times New Roman"/>
          <w:sz w:val="28"/>
          <w:szCs w:val="28"/>
        </w:rPr>
      </w:pPr>
      <w:r w:rsidRPr="004C41FE">
        <w:rPr>
          <w:rFonts w:ascii="Times New Roman" w:hAnsi="Times New Roman" w:cs="Times New Roman"/>
          <w:sz w:val="28"/>
          <w:szCs w:val="28"/>
        </w:rPr>
        <w:t>-формирование комплексного подхода к решению демографических, миграционных, социальных и экономических вопросов.</w:t>
      </w:r>
    </w:p>
    <w:p w:rsidR="004C41FE" w:rsidRPr="004C41FE" w:rsidRDefault="004C41FE" w:rsidP="004C41FE">
      <w:pPr>
        <w:shd w:val="clear" w:color="auto" w:fill="FFFFFF"/>
        <w:spacing w:after="0" w:line="240" w:lineRule="auto"/>
        <w:ind w:firstLine="705"/>
        <w:jc w:val="both"/>
        <w:rPr>
          <w:rFonts w:ascii="Times New Roman" w:hAnsi="Times New Roman" w:cs="Times New Roman"/>
          <w:sz w:val="28"/>
          <w:szCs w:val="28"/>
        </w:rPr>
      </w:pPr>
      <w:r w:rsidRPr="004C41FE">
        <w:rPr>
          <w:rFonts w:ascii="Times New Roman" w:hAnsi="Times New Roman" w:cs="Times New Roman"/>
          <w:sz w:val="28"/>
          <w:szCs w:val="28"/>
        </w:rPr>
        <w:t>В Стратегии 2035 скоординированы основные направления развития производственной и социальной инфраструктуры с учетом территориального распределения ресурсной базы, трудовых ресурсов и экономической интеграции. Стратегия 2035 разработана на основе:</w:t>
      </w:r>
    </w:p>
    <w:p w:rsidR="004C41FE" w:rsidRPr="004C41FE" w:rsidRDefault="004C41FE" w:rsidP="004C41FE">
      <w:pPr>
        <w:widowControl w:val="0"/>
        <w:numPr>
          <w:ilvl w:val="0"/>
          <w:numId w:val="5"/>
        </w:numPr>
        <w:shd w:val="clear" w:color="auto" w:fill="FFFFFF"/>
        <w:tabs>
          <w:tab w:val="left" w:pos="917"/>
        </w:tabs>
        <w:autoSpaceDE w:val="0"/>
        <w:autoSpaceDN w:val="0"/>
        <w:adjustRightInd w:val="0"/>
        <w:spacing w:after="0" w:line="240" w:lineRule="auto"/>
        <w:jc w:val="both"/>
        <w:rPr>
          <w:rFonts w:ascii="Times New Roman" w:hAnsi="Times New Roman" w:cs="Times New Roman"/>
          <w:bCs/>
          <w:sz w:val="28"/>
          <w:szCs w:val="28"/>
        </w:rPr>
      </w:pPr>
      <w:r w:rsidRPr="004C41FE">
        <w:rPr>
          <w:rFonts w:ascii="Times New Roman" w:hAnsi="Times New Roman" w:cs="Times New Roman"/>
          <w:spacing w:val="-1"/>
          <w:sz w:val="28"/>
          <w:szCs w:val="28"/>
        </w:rPr>
        <w:t>стратегического анализа социально-экономического развития муниципального района;</w:t>
      </w:r>
    </w:p>
    <w:p w:rsidR="004C41FE" w:rsidRPr="004C41FE" w:rsidRDefault="004C41FE" w:rsidP="004C41FE">
      <w:pPr>
        <w:widowControl w:val="0"/>
        <w:numPr>
          <w:ilvl w:val="0"/>
          <w:numId w:val="6"/>
        </w:numPr>
        <w:shd w:val="clear" w:color="auto" w:fill="FFFFFF"/>
        <w:tabs>
          <w:tab w:val="left" w:pos="917"/>
        </w:tabs>
        <w:autoSpaceDE w:val="0"/>
        <w:autoSpaceDN w:val="0"/>
        <w:adjustRightInd w:val="0"/>
        <w:spacing w:after="0" w:line="240" w:lineRule="auto"/>
        <w:ind w:firstLine="706"/>
        <w:jc w:val="both"/>
        <w:rPr>
          <w:rFonts w:ascii="Times New Roman" w:hAnsi="Times New Roman" w:cs="Times New Roman"/>
          <w:bCs/>
          <w:sz w:val="28"/>
          <w:szCs w:val="28"/>
        </w:rPr>
      </w:pPr>
      <w:r w:rsidRPr="004C41FE">
        <w:rPr>
          <w:rFonts w:ascii="Times New Roman" w:hAnsi="Times New Roman" w:cs="Times New Roman"/>
          <w:sz w:val="28"/>
          <w:szCs w:val="28"/>
        </w:rPr>
        <w:t>определения устойчивых конкурентных преимуществ муниципального района и их оценки на среднесрочную и долгосрочную перспективы;</w:t>
      </w:r>
    </w:p>
    <w:p w:rsidR="004C41FE" w:rsidRPr="004C41FE" w:rsidRDefault="004C41FE" w:rsidP="004C41FE">
      <w:pPr>
        <w:widowControl w:val="0"/>
        <w:numPr>
          <w:ilvl w:val="0"/>
          <w:numId w:val="6"/>
        </w:numPr>
        <w:shd w:val="clear" w:color="auto" w:fill="FFFFFF"/>
        <w:tabs>
          <w:tab w:val="left" w:pos="917"/>
        </w:tabs>
        <w:autoSpaceDE w:val="0"/>
        <w:autoSpaceDN w:val="0"/>
        <w:adjustRightInd w:val="0"/>
        <w:spacing w:after="0" w:line="240" w:lineRule="auto"/>
        <w:ind w:firstLine="706"/>
        <w:jc w:val="both"/>
        <w:rPr>
          <w:rFonts w:ascii="Times New Roman" w:hAnsi="Times New Roman" w:cs="Times New Roman"/>
          <w:bCs/>
          <w:sz w:val="28"/>
          <w:szCs w:val="28"/>
        </w:rPr>
      </w:pPr>
      <w:r w:rsidRPr="004C41FE">
        <w:rPr>
          <w:rFonts w:ascii="Times New Roman" w:hAnsi="Times New Roman" w:cs="Times New Roman"/>
          <w:sz w:val="28"/>
          <w:szCs w:val="28"/>
        </w:rPr>
        <w:t>проведения анализа основных проблем социально- экономического развития района на средне- и долгосрочную перспективу;</w:t>
      </w:r>
    </w:p>
    <w:p w:rsidR="004C41FE" w:rsidRPr="004C41FE" w:rsidRDefault="004C41FE" w:rsidP="004C41FE">
      <w:pPr>
        <w:widowControl w:val="0"/>
        <w:numPr>
          <w:ilvl w:val="0"/>
          <w:numId w:val="6"/>
        </w:numPr>
        <w:shd w:val="clear" w:color="auto" w:fill="FFFFFF"/>
        <w:tabs>
          <w:tab w:val="left" w:pos="917"/>
        </w:tabs>
        <w:autoSpaceDE w:val="0"/>
        <w:autoSpaceDN w:val="0"/>
        <w:adjustRightInd w:val="0"/>
        <w:spacing w:after="0" w:line="240" w:lineRule="auto"/>
        <w:ind w:firstLine="706"/>
        <w:jc w:val="both"/>
        <w:rPr>
          <w:rFonts w:ascii="Times New Roman" w:hAnsi="Times New Roman" w:cs="Times New Roman"/>
          <w:bCs/>
          <w:sz w:val="28"/>
          <w:szCs w:val="28"/>
        </w:rPr>
      </w:pPr>
      <w:r w:rsidRPr="004C41FE">
        <w:rPr>
          <w:rFonts w:ascii="Times New Roman" w:hAnsi="Times New Roman" w:cs="Times New Roman"/>
          <w:sz w:val="28"/>
          <w:szCs w:val="28"/>
        </w:rPr>
        <w:t xml:space="preserve">проведения </w:t>
      </w:r>
      <w:proofErr w:type="gramStart"/>
      <w:r w:rsidRPr="004C41FE">
        <w:rPr>
          <w:rFonts w:ascii="Times New Roman" w:hAnsi="Times New Roman" w:cs="Times New Roman"/>
          <w:sz w:val="28"/>
          <w:szCs w:val="28"/>
        </w:rPr>
        <w:t>анализа потенциала развития основных секторов экономики</w:t>
      </w:r>
      <w:proofErr w:type="gramEnd"/>
      <w:r w:rsidRPr="004C41FE">
        <w:rPr>
          <w:rFonts w:ascii="Times New Roman" w:hAnsi="Times New Roman" w:cs="Times New Roman"/>
          <w:sz w:val="28"/>
          <w:szCs w:val="28"/>
        </w:rPr>
        <w:t xml:space="preserve"> муниципального района</w:t>
      </w:r>
      <w:r w:rsidRPr="004C41FE">
        <w:rPr>
          <w:rFonts w:ascii="Times New Roman" w:hAnsi="Times New Roman" w:cs="Times New Roman"/>
          <w:spacing w:val="-1"/>
          <w:sz w:val="28"/>
          <w:szCs w:val="28"/>
        </w:rPr>
        <w:t xml:space="preserve"> на среднесрочную и долгосрочную перспективы;</w:t>
      </w:r>
    </w:p>
    <w:p w:rsidR="004C41FE" w:rsidRPr="004C41FE" w:rsidRDefault="004C41FE" w:rsidP="004C41FE">
      <w:pPr>
        <w:widowControl w:val="0"/>
        <w:numPr>
          <w:ilvl w:val="0"/>
          <w:numId w:val="6"/>
        </w:numPr>
        <w:shd w:val="clear" w:color="auto" w:fill="FFFFFF"/>
        <w:tabs>
          <w:tab w:val="left" w:pos="917"/>
        </w:tabs>
        <w:autoSpaceDE w:val="0"/>
        <w:autoSpaceDN w:val="0"/>
        <w:adjustRightInd w:val="0"/>
        <w:spacing w:after="0" w:line="240" w:lineRule="auto"/>
        <w:ind w:firstLine="706"/>
        <w:jc w:val="both"/>
        <w:rPr>
          <w:rFonts w:ascii="Times New Roman" w:hAnsi="Times New Roman" w:cs="Times New Roman"/>
          <w:bCs/>
          <w:sz w:val="28"/>
          <w:szCs w:val="28"/>
        </w:rPr>
      </w:pPr>
      <w:r w:rsidRPr="004C41FE">
        <w:rPr>
          <w:rFonts w:ascii="Times New Roman" w:hAnsi="Times New Roman" w:cs="Times New Roman"/>
          <w:sz w:val="28"/>
          <w:szCs w:val="28"/>
        </w:rPr>
        <w:t>разработки сценариев, определения приоритетных направлений и задач социально-экономического развития муниципального района;</w:t>
      </w:r>
    </w:p>
    <w:p w:rsidR="004C41FE" w:rsidRPr="004C41FE" w:rsidRDefault="004C41FE" w:rsidP="004C41FE">
      <w:pPr>
        <w:widowControl w:val="0"/>
        <w:numPr>
          <w:ilvl w:val="0"/>
          <w:numId w:val="6"/>
        </w:numPr>
        <w:shd w:val="clear" w:color="auto" w:fill="FFFFFF"/>
        <w:tabs>
          <w:tab w:val="left" w:pos="917"/>
        </w:tabs>
        <w:autoSpaceDE w:val="0"/>
        <w:autoSpaceDN w:val="0"/>
        <w:adjustRightInd w:val="0"/>
        <w:spacing w:after="0" w:line="240" w:lineRule="auto"/>
        <w:ind w:firstLine="706"/>
        <w:jc w:val="both"/>
        <w:rPr>
          <w:rFonts w:ascii="Times New Roman" w:hAnsi="Times New Roman" w:cs="Times New Roman"/>
          <w:bCs/>
          <w:sz w:val="28"/>
          <w:szCs w:val="28"/>
        </w:rPr>
      </w:pPr>
      <w:r w:rsidRPr="004C41FE">
        <w:rPr>
          <w:rFonts w:ascii="Times New Roman" w:hAnsi="Times New Roman" w:cs="Times New Roman"/>
          <w:sz w:val="28"/>
          <w:szCs w:val="28"/>
        </w:rPr>
        <w:t>определения приоритетных направлений деятельности органов местного самоуправления, предприятий и организаций муниципального района, ориентированных на достижение целевых параметров развития.</w:t>
      </w:r>
    </w:p>
    <w:p w:rsidR="004C41FE" w:rsidRPr="004C41FE" w:rsidRDefault="004C41FE" w:rsidP="004C41FE">
      <w:pPr>
        <w:shd w:val="clear" w:color="auto" w:fill="FFFFFF"/>
        <w:spacing w:after="0" w:line="240" w:lineRule="auto"/>
        <w:rPr>
          <w:rFonts w:ascii="Times New Roman" w:hAnsi="Times New Roman" w:cs="Times New Roman"/>
          <w:sz w:val="28"/>
          <w:szCs w:val="28"/>
        </w:rPr>
      </w:pPr>
      <w:r w:rsidRPr="004C41FE">
        <w:rPr>
          <w:rFonts w:ascii="Times New Roman" w:hAnsi="Times New Roman" w:cs="Times New Roman"/>
          <w:spacing w:val="-1"/>
          <w:sz w:val="28"/>
          <w:szCs w:val="28"/>
        </w:rPr>
        <w:t>При этом важно ещё раз подчеркнуть следующие моменты:</w:t>
      </w:r>
    </w:p>
    <w:p w:rsidR="004C41FE" w:rsidRPr="004C41FE" w:rsidRDefault="004C41FE" w:rsidP="004C41FE">
      <w:pPr>
        <w:shd w:val="clear" w:color="auto" w:fill="FFFFFF"/>
        <w:tabs>
          <w:tab w:val="left" w:pos="1205"/>
        </w:tabs>
        <w:spacing w:after="0" w:line="240" w:lineRule="auto"/>
        <w:ind w:firstLine="730"/>
        <w:jc w:val="both"/>
        <w:rPr>
          <w:rFonts w:ascii="Times New Roman" w:hAnsi="Times New Roman" w:cs="Times New Roman"/>
          <w:sz w:val="28"/>
          <w:szCs w:val="28"/>
        </w:rPr>
      </w:pPr>
      <w:r w:rsidRPr="004C41FE">
        <w:rPr>
          <w:rFonts w:ascii="Times New Roman" w:hAnsi="Times New Roman" w:cs="Times New Roman"/>
          <w:spacing w:val="-19"/>
          <w:sz w:val="28"/>
          <w:szCs w:val="28"/>
        </w:rPr>
        <w:t>1)</w:t>
      </w:r>
      <w:r w:rsidRPr="004C41FE">
        <w:rPr>
          <w:rFonts w:ascii="Times New Roman" w:hAnsi="Times New Roman" w:cs="Times New Roman"/>
          <w:sz w:val="28"/>
          <w:szCs w:val="28"/>
        </w:rPr>
        <w:tab/>
        <w:t xml:space="preserve">Стратегические направления не охватывают абсолютно всех сфер жизнедеятельности района. Они указывают на главное - на наиболее </w:t>
      </w:r>
      <w:r w:rsidRPr="004C41FE">
        <w:rPr>
          <w:rFonts w:ascii="Times New Roman" w:hAnsi="Times New Roman" w:cs="Times New Roman"/>
          <w:sz w:val="28"/>
          <w:szCs w:val="28"/>
        </w:rPr>
        <w:lastRenderedPageBreak/>
        <w:t>актуальные сферы развития муниципального района, способствующие достижению стратегической цели.</w:t>
      </w:r>
    </w:p>
    <w:p w:rsidR="004C41FE" w:rsidRPr="004C41FE" w:rsidRDefault="004C41FE" w:rsidP="004C41FE">
      <w:pPr>
        <w:shd w:val="clear" w:color="auto" w:fill="FFFFFF"/>
        <w:tabs>
          <w:tab w:val="left" w:pos="998"/>
        </w:tabs>
        <w:spacing w:after="0" w:line="240" w:lineRule="auto"/>
        <w:ind w:firstLine="710"/>
        <w:jc w:val="both"/>
        <w:rPr>
          <w:rFonts w:ascii="Times New Roman" w:hAnsi="Times New Roman" w:cs="Times New Roman"/>
          <w:sz w:val="28"/>
          <w:szCs w:val="28"/>
        </w:rPr>
      </w:pPr>
      <w:r w:rsidRPr="004C41FE">
        <w:rPr>
          <w:rFonts w:ascii="Times New Roman" w:hAnsi="Times New Roman" w:cs="Times New Roman"/>
          <w:spacing w:val="-7"/>
          <w:sz w:val="28"/>
          <w:szCs w:val="28"/>
        </w:rPr>
        <w:t>2)</w:t>
      </w:r>
      <w:r w:rsidRPr="004C41FE">
        <w:rPr>
          <w:rFonts w:ascii="Times New Roman" w:hAnsi="Times New Roman" w:cs="Times New Roman"/>
          <w:sz w:val="28"/>
          <w:szCs w:val="28"/>
        </w:rPr>
        <w:tab/>
        <w:t>Стратегические направления не являются автономными, независимыми друг от друга, а тесно переплетаются. Это единый комплекс действий, ориентированный на реализацию стратегической цели. Реализация мероприятий по каждому из направлений затрагивает и другие направления, и естественно, что и задачи многих стратегических направлений совпадают.</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Пластовский муниципальный район – промышленный район, основной отраслью промышленности является </w:t>
      </w:r>
      <w:proofErr w:type="gramStart"/>
      <w:r w:rsidRPr="004C41FE">
        <w:rPr>
          <w:rFonts w:ascii="Times New Roman" w:hAnsi="Times New Roman" w:cs="Times New Roman"/>
          <w:sz w:val="28"/>
          <w:szCs w:val="28"/>
        </w:rPr>
        <w:t>золотодобывающая</w:t>
      </w:r>
      <w:proofErr w:type="gramEnd"/>
      <w:r w:rsidRPr="004C41FE">
        <w:rPr>
          <w:rFonts w:ascii="Times New Roman" w:hAnsi="Times New Roman" w:cs="Times New Roman"/>
          <w:sz w:val="28"/>
          <w:szCs w:val="28"/>
        </w:rPr>
        <w:t>, удельный вес которой в общем объеме промышленной продукции составляет  97%.</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Своим рождением и дальнейшим развитием город обязан месторождениям золота. Первый золотой прииск был открыт в 1845 году купцом второй гильдии </w:t>
      </w:r>
      <w:proofErr w:type="spellStart"/>
      <w:r w:rsidRPr="004C41FE">
        <w:rPr>
          <w:rFonts w:ascii="Times New Roman" w:hAnsi="Times New Roman" w:cs="Times New Roman"/>
          <w:sz w:val="28"/>
          <w:szCs w:val="28"/>
        </w:rPr>
        <w:t>Бакакиным</w:t>
      </w:r>
      <w:proofErr w:type="spellEnd"/>
      <w:r w:rsidRPr="004C41FE">
        <w:rPr>
          <w:rFonts w:ascii="Times New Roman" w:hAnsi="Times New Roman" w:cs="Times New Roman"/>
          <w:sz w:val="28"/>
          <w:szCs w:val="28"/>
        </w:rPr>
        <w:t xml:space="preserve"> П.Е., с этого времени начинается «золотая» история нашей земли. Постепенно поселки старателей вокруг каждого из приисков слились в один населенный пункт, который в 1919-1931 годах носил название Екатеринбургский сельсовет, а в 1931 году был переименован в поселок Пласт из-за открытой </w:t>
      </w:r>
      <w:proofErr w:type="spellStart"/>
      <w:r w:rsidRPr="004C41FE">
        <w:rPr>
          <w:rFonts w:ascii="Times New Roman" w:hAnsi="Times New Roman" w:cs="Times New Roman"/>
          <w:sz w:val="28"/>
          <w:szCs w:val="28"/>
        </w:rPr>
        <w:t>пластообразной</w:t>
      </w:r>
      <w:proofErr w:type="spellEnd"/>
      <w:r w:rsidRPr="004C41FE">
        <w:rPr>
          <w:rFonts w:ascii="Times New Roman" w:hAnsi="Times New Roman" w:cs="Times New Roman"/>
          <w:sz w:val="28"/>
          <w:szCs w:val="28"/>
        </w:rPr>
        <w:t xml:space="preserve"> залежи золотоносных песков. В 1940 году Пласт получил статус города.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В 2004 году муниципальное образование «Город Пласт» наделено статусом Пластовского муниципального района, к которому присоединилось Степнинское сельское поселение </w:t>
      </w:r>
      <w:proofErr w:type="gramStart"/>
      <w:r w:rsidRPr="004C41FE">
        <w:rPr>
          <w:rFonts w:ascii="Times New Roman" w:hAnsi="Times New Roman" w:cs="Times New Roman"/>
          <w:sz w:val="28"/>
          <w:szCs w:val="28"/>
        </w:rPr>
        <w:t>из</w:t>
      </w:r>
      <w:proofErr w:type="gramEnd"/>
      <w:r w:rsidRPr="004C41FE">
        <w:rPr>
          <w:rFonts w:ascii="Times New Roman" w:hAnsi="Times New Roman" w:cs="Times New Roman"/>
          <w:sz w:val="28"/>
          <w:szCs w:val="28"/>
        </w:rPr>
        <w:t xml:space="preserve"> Троицкого района.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На сегодняшний день Пластовский муниципальный район объединяет в своем составе следующие муниципальные образования:</w:t>
      </w:r>
    </w:p>
    <w:p w:rsidR="004C41FE" w:rsidRPr="004C41FE" w:rsidRDefault="004C41FE" w:rsidP="004C41FE">
      <w:pPr>
        <w:numPr>
          <w:ilvl w:val="0"/>
          <w:numId w:val="1"/>
        </w:numPr>
        <w:tabs>
          <w:tab w:val="left" w:pos="360"/>
        </w:tabs>
        <w:suppressAutoHyphens/>
        <w:spacing w:after="0" w:line="240" w:lineRule="auto"/>
        <w:ind w:left="0"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Пластовское городское поселение с находящимся с ним в муниципальной связи хутором Пчельник; </w:t>
      </w:r>
    </w:p>
    <w:p w:rsidR="004C41FE" w:rsidRPr="004C41FE" w:rsidRDefault="004C41FE" w:rsidP="004C41FE">
      <w:pPr>
        <w:numPr>
          <w:ilvl w:val="0"/>
          <w:numId w:val="1"/>
        </w:numPr>
        <w:tabs>
          <w:tab w:val="left" w:pos="360"/>
        </w:tabs>
        <w:suppressAutoHyphens/>
        <w:spacing w:after="0" w:line="240" w:lineRule="auto"/>
        <w:ind w:left="0" w:firstLine="851"/>
        <w:jc w:val="both"/>
        <w:rPr>
          <w:rFonts w:ascii="Times New Roman" w:hAnsi="Times New Roman" w:cs="Times New Roman"/>
          <w:sz w:val="28"/>
          <w:szCs w:val="28"/>
        </w:rPr>
      </w:pPr>
      <w:r w:rsidRPr="004C41FE">
        <w:rPr>
          <w:rFonts w:ascii="Times New Roman" w:hAnsi="Times New Roman" w:cs="Times New Roman"/>
          <w:sz w:val="28"/>
          <w:szCs w:val="28"/>
        </w:rPr>
        <w:t>Борисовское сельское поселение с населенными пунктами: село Борисовка, поселок Андреевский, село Верхняя Санарка, поселок Воронино, село Радиомайка, поселок Светлый;</w:t>
      </w:r>
    </w:p>
    <w:p w:rsidR="004C41FE" w:rsidRPr="004C41FE" w:rsidRDefault="004C41FE" w:rsidP="004C41FE">
      <w:pPr>
        <w:numPr>
          <w:ilvl w:val="0"/>
          <w:numId w:val="1"/>
        </w:numPr>
        <w:tabs>
          <w:tab w:val="left" w:pos="360"/>
        </w:tabs>
        <w:suppressAutoHyphens/>
        <w:spacing w:after="0" w:line="240" w:lineRule="auto"/>
        <w:ind w:left="0" w:firstLine="851"/>
        <w:jc w:val="both"/>
        <w:rPr>
          <w:rFonts w:ascii="Times New Roman" w:hAnsi="Times New Roman" w:cs="Times New Roman"/>
          <w:sz w:val="28"/>
          <w:szCs w:val="28"/>
        </w:rPr>
      </w:pPr>
      <w:r w:rsidRPr="004C41FE">
        <w:rPr>
          <w:rFonts w:ascii="Times New Roman" w:hAnsi="Times New Roman" w:cs="Times New Roman"/>
          <w:sz w:val="28"/>
          <w:szCs w:val="28"/>
        </w:rPr>
        <w:t>Демаринское сельское поселение с населенными пунктами: село Демарино, поселок Котлик, село Кукушка, село Михайловка, село Новый Кумляк, село Старый Кумляк;</w:t>
      </w:r>
    </w:p>
    <w:p w:rsidR="004C41FE" w:rsidRPr="004C41FE" w:rsidRDefault="004C41FE" w:rsidP="004C41FE">
      <w:pPr>
        <w:numPr>
          <w:ilvl w:val="0"/>
          <w:numId w:val="1"/>
        </w:numPr>
        <w:tabs>
          <w:tab w:val="left" w:pos="360"/>
        </w:tabs>
        <w:suppressAutoHyphens/>
        <w:spacing w:after="0" w:line="240" w:lineRule="auto"/>
        <w:ind w:left="0"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Кочкарское сельское поселение с населенными пунктами: село Кочкарь, село </w:t>
      </w:r>
      <w:proofErr w:type="gramStart"/>
      <w:r w:rsidRPr="004C41FE">
        <w:rPr>
          <w:rFonts w:ascii="Times New Roman" w:hAnsi="Times New Roman" w:cs="Times New Roman"/>
          <w:sz w:val="28"/>
          <w:szCs w:val="28"/>
        </w:rPr>
        <w:t>Верхняя</w:t>
      </w:r>
      <w:proofErr w:type="gramEnd"/>
      <w:r w:rsidRPr="004C41FE">
        <w:rPr>
          <w:rFonts w:ascii="Times New Roman" w:hAnsi="Times New Roman" w:cs="Times New Roman"/>
          <w:sz w:val="28"/>
          <w:szCs w:val="28"/>
        </w:rPr>
        <w:t xml:space="preserve"> Кабанка, село Поляновка, село Чукса;</w:t>
      </w:r>
    </w:p>
    <w:p w:rsidR="004C41FE" w:rsidRPr="004C41FE" w:rsidRDefault="004C41FE" w:rsidP="004C41FE">
      <w:pPr>
        <w:numPr>
          <w:ilvl w:val="0"/>
          <w:numId w:val="1"/>
        </w:numPr>
        <w:tabs>
          <w:tab w:val="left" w:pos="360"/>
        </w:tabs>
        <w:suppressAutoHyphens/>
        <w:spacing w:after="0" w:line="240" w:lineRule="auto"/>
        <w:ind w:left="0" w:firstLine="851"/>
        <w:jc w:val="both"/>
        <w:rPr>
          <w:rFonts w:ascii="Times New Roman" w:hAnsi="Times New Roman" w:cs="Times New Roman"/>
          <w:sz w:val="28"/>
          <w:szCs w:val="28"/>
        </w:rPr>
      </w:pPr>
      <w:r w:rsidRPr="004C41FE">
        <w:rPr>
          <w:rFonts w:ascii="Times New Roman" w:hAnsi="Times New Roman" w:cs="Times New Roman"/>
          <w:sz w:val="28"/>
          <w:szCs w:val="28"/>
        </w:rPr>
        <w:t>Степнинское сельское поселение с населенными пунктами: село Степное, село Степнинское.</w:t>
      </w:r>
    </w:p>
    <w:p w:rsidR="004C41FE" w:rsidRPr="004C41FE" w:rsidRDefault="004C41FE" w:rsidP="004C41F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4C41FE" w:rsidRPr="004C41FE" w:rsidTr="00D07965">
        <w:tc>
          <w:tcPr>
            <w:tcW w:w="10139" w:type="dxa"/>
            <w:shd w:val="clear" w:color="auto" w:fill="auto"/>
          </w:tcPr>
          <w:p w:rsidR="004C41FE" w:rsidRPr="004C41FE" w:rsidRDefault="004C41FE" w:rsidP="004C41FE">
            <w:pPr>
              <w:spacing w:after="0" w:line="240" w:lineRule="auto"/>
              <w:ind w:firstLine="851"/>
              <w:jc w:val="center"/>
              <w:rPr>
                <w:rFonts w:ascii="Times New Roman" w:hAnsi="Times New Roman" w:cs="Times New Roman"/>
                <w:sz w:val="28"/>
                <w:szCs w:val="28"/>
              </w:rPr>
            </w:pPr>
            <w:r w:rsidRPr="004C41FE">
              <w:rPr>
                <w:rFonts w:ascii="Times New Roman" w:hAnsi="Times New Roman" w:cs="Times New Roman"/>
                <w:sz w:val="28"/>
                <w:szCs w:val="28"/>
              </w:rPr>
              <w:t>Стратегия определяет ключевые направления деятельности органов местного самоуправления на этот период, обеспечивающие достижения таких стратегических целей развития Пластовского муниципального района, как повышение благосостояния населения и уменьшение бедности на основе динамичного и устойчивого экономического роста и повышения конкурентоспособности экономики района.</w:t>
            </w:r>
          </w:p>
        </w:tc>
      </w:tr>
    </w:tbl>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7236B4">
      <w:pPr>
        <w:tabs>
          <w:tab w:val="left" w:pos="1985"/>
        </w:tabs>
        <w:spacing w:after="0" w:line="240" w:lineRule="auto"/>
        <w:rPr>
          <w:rFonts w:ascii="Times New Roman" w:hAnsi="Times New Roman" w:cs="Times New Roman"/>
          <w:sz w:val="26"/>
          <w:szCs w:val="26"/>
        </w:rPr>
      </w:pPr>
      <w:r w:rsidRPr="004C41FE">
        <w:rPr>
          <w:rFonts w:ascii="Times New Roman" w:hAnsi="Times New Roman" w:cs="Times New Roman"/>
          <w:sz w:val="26"/>
          <w:szCs w:val="26"/>
        </w:rPr>
        <w:t xml:space="preserve">РАЗДЕЛ  </w:t>
      </w:r>
      <w:r w:rsidRPr="004C41FE">
        <w:rPr>
          <w:rFonts w:ascii="Times New Roman" w:hAnsi="Times New Roman" w:cs="Times New Roman"/>
          <w:sz w:val="26"/>
          <w:szCs w:val="26"/>
          <w:lang w:val="en-US"/>
        </w:rPr>
        <w:t>I</w:t>
      </w:r>
      <w:r w:rsidRPr="004C41FE">
        <w:rPr>
          <w:rFonts w:ascii="Times New Roman" w:hAnsi="Times New Roman" w:cs="Times New Roman"/>
          <w:sz w:val="26"/>
          <w:szCs w:val="26"/>
        </w:rPr>
        <w:t>.  ХАРАКТЕРИСТИКА СОЦИАЛЬНО-ЭКОНОМИЧЕСКОГО ПОТЕНЦИАЛА ПЛАСТОВСКОГО МУНИЦИПАЛЬНОГО РАЙОНА</w:t>
      </w:r>
    </w:p>
    <w:p w:rsidR="004C41FE" w:rsidRPr="004C41FE" w:rsidRDefault="004C41FE" w:rsidP="004C41FE">
      <w:pPr>
        <w:spacing w:after="0" w:line="240" w:lineRule="auto"/>
        <w:ind w:firstLine="851"/>
        <w:jc w:val="both"/>
        <w:rPr>
          <w:rFonts w:ascii="Times New Roman" w:hAnsi="Times New Roman" w:cs="Times New Roman"/>
          <w:sz w:val="26"/>
          <w:szCs w:val="26"/>
        </w:rPr>
      </w:pPr>
    </w:p>
    <w:p w:rsidR="004C41FE" w:rsidRPr="004C41FE" w:rsidRDefault="004C41FE" w:rsidP="007236B4">
      <w:pPr>
        <w:spacing w:after="0" w:line="240" w:lineRule="auto"/>
        <w:rPr>
          <w:rFonts w:ascii="Times New Roman" w:hAnsi="Times New Roman" w:cs="Times New Roman"/>
          <w:sz w:val="26"/>
          <w:szCs w:val="26"/>
        </w:rPr>
      </w:pPr>
      <w:r w:rsidRPr="004C41FE">
        <w:rPr>
          <w:rFonts w:ascii="Times New Roman" w:hAnsi="Times New Roman" w:cs="Times New Roman"/>
          <w:sz w:val="26"/>
          <w:szCs w:val="26"/>
        </w:rPr>
        <w:t>Глава 1.  ПРИРОДНО-РЕСУРСНЫЙ ПОТЕНЦИАЛ ПЛАСТОВСКОГО МУНИЦИПАЛЬНОГО РАЙОНА</w:t>
      </w:r>
    </w:p>
    <w:p w:rsidR="004C41FE" w:rsidRPr="004C41FE" w:rsidRDefault="004C41FE" w:rsidP="004C41FE">
      <w:pPr>
        <w:spacing w:after="0" w:line="240" w:lineRule="auto"/>
        <w:ind w:firstLine="851"/>
        <w:rPr>
          <w:rFonts w:ascii="Times New Roman" w:hAnsi="Times New Roman" w:cs="Times New Roman"/>
          <w:sz w:val="26"/>
          <w:szCs w:val="26"/>
        </w:rPr>
      </w:pP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Природно-климатические условия. Климат территории сухой, континентальный с холодной продолжительной зимой и теплым сухим летом. Средняя температура января от -15</w:t>
      </w:r>
      <w:proofErr w:type="gramStart"/>
      <w:r w:rsidRPr="004C41FE">
        <w:rPr>
          <w:rFonts w:ascii="Times New Roman" w:hAnsi="Times New Roman" w:cs="Times New Roman"/>
          <w:sz w:val="28"/>
          <w:szCs w:val="28"/>
        </w:rPr>
        <w:t>˚С</w:t>
      </w:r>
      <w:proofErr w:type="gramEnd"/>
      <w:r w:rsidRPr="004C41FE">
        <w:rPr>
          <w:rFonts w:ascii="Times New Roman" w:hAnsi="Times New Roman" w:cs="Times New Roman"/>
          <w:sz w:val="28"/>
          <w:szCs w:val="28"/>
        </w:rPr>
        <w:t xml:space="preserve"> до 35,8˚С. Устойчивый снежный покров до </w:t>
      </w:r>
      <w:smartTag w:uri="urn:schemas-microsoft-com:office:smarttags" w:element="metricconverter">
        <w:smartTagPr>
          <w:attr w:name="ProductID" w:val="30 см"/>
        </w:smartTagPr>
        <w:r w:rsidRPr="004C41FE">
          <w:rPr>
            <w:rFonts w:ascii="Times New Roman" w:hAnsi="Times New Roman" w:cs="Times New Roman"/>
            <w:sz w:val="28"/>
            <w:szCs w:val="28"/>
          </w:rPr>
          <w:t>30 см</w:t>
        </w:r>
      </w:smartTag>
      <w:r w:rsidRPr="004C41FE">
        <w:rPr>
          <w:rFonts w:ascii="Times New Roman" w:hAnsi="Times New Roman" w:cs="Times New Roman"/>
          <w:sz w:val="28"/>
          <w:szCs w:val="28"/>
        </w:rPr>
        <w:t>. Лето длится более 4х месяцев с начала мая до середины сентября. Средняя температура от +19</w:t>
      </w:r>
      <w:proofErr w:type="gramStart"/>
      <w:r w:rsidRPr="004C41FE">
        <w:rPr>
          <w:rFonts w:ascii="Times New Roman" w:hAnsi="Times New Roman" w:cs="Times New Roman"/>
          <w:sz w:val="28"/>
          <w:szCs w:val="28"/>
        </w:rPr>
        <w:t>˚С</w:t>
      </w:r>
      <w:proofErr w:type="gramEnd"/>
      <w:r w:rsidRPr="004C41FE">
        <w:rPr>
          <w:rFonts w:ascii="Times New Roman" w:hAnsi="Times New Roman" w:cs="Times New Roman"/>
          <w:sz w:val="28"/>
          <w:szCs w:val="28"/>
        </w:rPr>
        <w:t xml:space="preserve"> до 35,3˚С. Характерно теплой солнечной погодой, нередко жаркой погодой, которая чередуется дождливыми периодами. В год выпадает 350-40мм осадков, за вегетационный период 175-</w:t>
      </w:r>
      <w:smartTag w:uri="urn:schemas-microsoft-com:office:smarttags" w:element="metricconverter">
        <w:smartTagPr>
          <w:attr w:name="ProductID" w:val="225 мм"/>
        </w:smartTagPr>
        <w:r w:rsidRPr="004C41FE">
          <w:rPr>
            <w:rFonts w:ascii="Times New Roman" w:hAnsi="Times New Roman" w:cs="Times New Roman"/>
            <w:sz w:val="28"/>
            <w:szCs w:val="28"/>
          </w:rPr>
          <w:t>225 мм</w:t>
        </w:r>
      </w:smartTag>
      <w:r w:rsidRPr="004C41FE">
        <w:rPr>
          <w:rFonts w:ascii="Times New Roman" w:hAnsi="Times New Roman" w:cs="Times New Roman"/>
          <w:sz w:val="28"/>
          <w:szCs w:val="28"/>
        </w:rPr>
        <w:t>. В течение года преобладают южные ветра особенно зимой. Среднегодовая скорость ветра 2,7 м/сек, усиление ветра отмечается весной и осенью. Таким образом, территория района по климатическим условиям благоприятна для строительства и хозяйственного освоения территории.</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 Минерально-сырьевая база. Пластовский район расположен на земле богатой полезными ископаемыми. Здесь находятся месторождения золота и серебра (Кочкарское, </w:t>
      </w:r>
      <w:proofErr w:type="spellStart"/>
      <w:r w:rsidRPr="004C41FE">
        <w:rPr>
          <w:rFonts w:ascii="Times New Roman" w:hAnsi="Times New Roman" w:cs="Times New Roman"/>
          <w:sz w:val="28"/>
          <w:szCs w:val="28"/>
        </w:rPr>
        <w:t>Светлинское</w:t>
      </w:r>
      <w:proofErr w:type="spellEnd"/>
      <w:r w:rsidRPr="004C41FE">
        <w:rPr>
          <w:rFonts w:ascii="Times New Roman" w:hAnsi="Times New Roman" w:cs="Times New Roman"/>
          <w:sz w:val="28"/>
          <w:szCs w:val="28"/>
        </w:rPr>
        <w:t xml:space="preserve"> золоторудное, </w:t>
      </w:r>
      <w:proofErr w:type="spellStart"/>
      <w:r w:rsidRPr="004C41FE">
        <w:rPr>
          <w:rFonts w:ascii="Times New Roman" w:hAnsi="Times New Roman" w:cs="Times New Roman"/>
          <w:sz w:val="28"/>
          <w:szCs w:val="28"/>
        </w:rPr>
        <w:t>Северо-Светлинское</w:t>
      </w:r>
      <w:proofErr w:type="spellEnd"/>
      <w:r w:rsidRPr="004C41FE">
        <w:rPr>
          <w:rFonts w:ascii="Times New Roman" w:hAnsi="Times New Roman" w:cs="Times New Roman"/>
          <w:sz w:val="28"/>
          <w:szCs w:val="28"/>
        </w:rPr>
        <w:t xml:space="preserve"> россыпное, </w:t>
      </w:r>
      <w:proofErr w:type="spellStart"/>
      <w:r w:rsidRPr="004C41FE">
        <w:rPr>
          <w:rFonts w:ascii="Times New Roman" w:hAnsi="Times New Roman" w:cs="Times New Roman"/>
          <w:sz w:val="28"/>
          <w:szCs w:val="28"/>
        </w:rPr>
        <w:t>Андрее-Юльевское</w:t>
      </w:r>
      <w:proofErr w:type="spellEnd"/>
      <w:r w:rsidRPr="004C41FE">
        <w:rPr>
          <w:rFonts w:ascii="Times New Roman" w:hAnsi="Times New Roman" w:cs="Times New Roman"/>
          <w:sz w:val="28"/>
          <w:szCs w:val="28"/>
        </w:rPr>
        <w:t xml:space="preserve">, Михайловское), каолиновой глины (Журавлиный лог), талька (проявления на </w:t>
      </w:r>
      <w:proofErr w:type="spellStart"/>
      <w:r w:rsidRPr="004C41FE">
        <w:rPr>
          <w:rFonts w:ascii="Times New Roman" w:hAnsi="Times New Roman" w:cs="Times New Roman"/>
          <w:sz w:val="28"/>
          <w:szCs w:val="28"/>
        </w:rPr>
        <w:t>Чемпаловском</w:t>
      </w:r>
      <w:proofErr w:type="spellEnd"/>
      <w:r w:rsidRPr="004C41FE">
        <w:rPr>
          <w:rFonts w:ascii="Times New Roman" w:hAnsi="Times New Roman" w:cs="Times New Roman"/>
          <w:sz w:val="28"/>
          <w:szCs w:val="28"/>
        </w:rPr>
        <w:t xml:space="preserve"> месторождении), кианитов (проявления на </w:t>
      </w:r>
      <w:proofErr w:type="spellStart"/>
      <w:r w:rsidRPr="004C41FE">
        <w:rPr>
          <w:rFonts w:ascii="Times New Roman" w:hAnsi="Times New Roman" w:cs="Times New Roman"/>
          <w:sz w:val="28"/>
          <w:szCs w:val="28"/>
        </w:rPr>
        <w:t>Андрее-Юльевском</w:t>
      </w:r>
      <w:proofErr w:type="spellEnd"/>
      <w:r w:rsidRPr="004C41FE">
        <w:rPr>
          <w:rFonts w:ascii="Times New Roman" w:hAnsi="Times New Roman" w:cs="Times New Roman"/>
          <w:sz w:val="28"/>
          <w:szCs w:val="28"/>
        </w:rPr>
        <w:t xml:space="preserve"> и Михайловском месторождениях), кварца (</w:t>
      </w:r>
      <w:proofErr w:type="spellStart"/>
      <w:r w:rsidRPr="004C41FE">
        <w:rPr>
          <w:rFonts w:ascii="Times New Roman" w:hAnsi="Times New Roman" w:cs="Times New Roman"/>
          <w:sz w:val="28"/>
          <w:szCs w:val="28"/>
        </w:rPr>
        <w:t>Северо-Светлинское</w:t>
      </w:r>
      <w:proofErr w:type="spellEnd"/>
      <w:r w:rsidRPr="004C41FE">
        <w:rPr>
          <w:rFonts w:ascii="Times New Roman" w:hAnsi="Times New Roman" w:cs="Times New Roman"/>
          <w:sz w:val="28"/>
          <w:szCs w:val="28"/>
        </w:rPr>
        <w:t xml:space="preserve">), белого и черного мрамора (проявления на Каменском месторождении) и другие. Кроме них, эксплуатируются месторождения строительного щебня и кирпичных глин, известны проявления хромитов, редких земельных элементов (группы тантала, </w:t>
      </w:r>
      <w:proofErr w:type="spellStart"/>
      <w:r w:rsidRPr="004C41FE">
        <w:rPr>
          <w:rFonts w:ascii="Times New Roman" w:hAnsi="Times New Roman" w:cs="Times New Roman"/>
          <w:sz w:val="28"/>
          <w:szCs w:val="28"/>
        </w:rPr>
        <w:t>ниобата</w:t>
      </w:r>
      <w:proofErr w:type="spellEnd"/>
      <w:r w:rsidRPr="004C41FE">
        <w:rPr>
          <w:rFonts w:ascii="Times New Roman" w:hAnsi="Times New Roman" w:cs="Times New Roman"/>
          <w:sz w:val="28"/>
          <w:szCs w:val="28"/>
        </w:rPr>
        <w:t xml:space="preserve"> и пр.), асбеста.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Долина речки Каменки – притока р</w:t>
      </w:r>
      <w:proofErr w:type="gramStart"/>
      <w:r w:rsidRPr="004C41FE">
        <w:rPr>
          <w:rFonts w:ascii="Times New Roman" w:hAnsi="Times New Roman" w:cs="Times New Roman"/>
          <w:sz w:val="28"/>
          <w:szCs w:val="28"/>
        </w:rPr>
        <w:t>.С</w:t>
      </w:r>
      <w:proofErr w:type="gramEnd"/>
      <w:r w:rsidRPr="004C41FE">
        <w:rPr>
          <w:rFonts w:ascii="Times New Roman" w:hAnsi="Times New Roman" w:cs="Times New Roman"/>
          <w:sz w:val="28"/>
          <w:szCs w:val="28"/>
        </w:rPr>
        <w:t xml:space="preserve">анарка, что южнее города Пласт, давно известна золотыми россыпями и самоцветами, за которые академик-кристаллограф Н.И. </w:t>
      </w:r>
      <w:proofErr w:type="spellStart"/>
      <w:r w:rsidRPr="004C41FE">
        <w:rPr>
          <w:rFonts w:ascii="Times New Roman" w:hAnsi="Times New Roman" w:cs="Times New Roman"/>
          <w:sz w:val="28"/>
          <w:szCs w:val="28"/>
        </w:rPr>
        <w:t>Кокшаров</w:t>
      </w:r>
      <w:proofErr w:type="spellEnd"/>
      <w:r w:rsidRPr="004C41FE">
        <w:rPr>
          <w:rFonts w:ascii="Times New Roman" w:hAnsi="Times New Roman" w:cs="Times New Roman"/>
          <w:sz w:val="28"/>
          <w:szCs w:val="28"/>
        </w:rPr>
        <w:t xml:space="preserve"> в 1856 году окрестил эту территорию «Русской Бразилией». </w:t>
      </w:r>
      <w:proofErr w:type="gramStart"/>
      <w:r w:rsidRPr="004C41FE">
        <w:rPr>
          <w:rFonts w:ascii="Times New Roman" w:hAnsi="Times New Roman" w:cs="Times New Roman"/>
          <w:sz w:val="28"/>
          <w:szCs w:val="28"/>
        </w:rPr>
        <w:t>Находки эвклаза, топаза, рутила, кианита, берилла, турмалина, моноцита, корунда, горного хрусталя и других минералов, сильно напоминали материалы из алмазных россыпей Бразилии.</w:t>
      </w:r>
      <w:proofErr w:type="gramEnd"/>
    </w:p>
    <w:p w:rsidR="004C41FE" w:rsidRPr="004C41FE" w:rsidRDefault="004C41FE" w:rsidP="004C41FE">
      <w:pPr>
        <w:pStyle w:val="31"/>
        <w:ind w:firstLine="851"/>
        <w:rPr>
          <w:szCs w:val="28"/>
        </w:rPr>
      </w:pPr>
      <w:r w:rsidRPr="004C41FE">
        <w:rPr>
          <w:szCs w:val="28"/>
        </w:rPr>
        <w:t xml:space="preserve">Земельные ресурсы. Территория Пластовского муниципального района составляет </w:t>
      </w:r>
      <w:smartTag w:uri="urn:schemas-microsoft-com:office:smarttags" w:element="metricconverter">
        <w:smartTagPr>
          <w:attr w:name="ProductID" w:val="175176 га"/>
        </w:smartTagPr>
        <w:r w:rsidRPr="004C41FE">
          <w:rPr>
            <w:szCs w:val="28"/>
          </w:rPr>
          <w:t>175176 га</w:t>
        </w:r>
      </w:smartTag>
      <w:r w:rsidRPr="004C41FE">
        <w:rPr>
          <w:szCs w:val="28"/>
        </w:rPr>
        <w:t xml:space="preserve">, в том числе город – </w:t>
      </w:r>
      <w:smartTag w:uri="urn:schemas-microsoft-com:office:smarttags" w:element="metricconverter">
        <w:smartTagPr>
          <w:attr w:name="ProductID" w:val="2571 га"/>
        </w:smartTagPr>
        <w:r w:rsidRPr="004C41FE">
          <w:rPr>
            <w:szCs w:val="28"/>
          </w:rPr>
          <w:t>2571 га</w:t>
        </w:r>
      </w:smartTag>
      <w:r w:rsidRPr="004C41FE">
        <w:rPr>
          <w:szCs w:val="28"/>
        </w:rPr>
        <w:t xml:space="preserve">.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Пластовский муниципальный район обладает достаточными свободными земельными участками под строительство  крупного промышленного производства,  многоэтажного и индивидуального жилищного строительства, коммунально-складских застроек, оптовых баз и др.</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Сельскохозяйственные земли Пластовского муниципального района знамениты своей уникальной плодородной почвой, которая дает высокий урожай. Климатические условия способствуют развитию овощеводства.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Сельская местность богата полевыми и боровыми ягодами: клубника, земляника, брусника, костяника и др., в лесах произрастает огромное </w:t>
      </w:r>
      <w:r w:rsidRPr="004C41FE">
        <w:rPr>
          <w:rFonts w:ascii="Times New Roman" w:hAnsi="Times New Roman" w:cs="Times New Roman"/>
          <w:sz w:val="28"/>
          <w:szCs w:val="28"/>
        </w:rPr>
        <w:lastRenderedPageBreak/>
        <w:t>количество  видов съедобных грибов, редких лекарственных трав и других растений.</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Ландшафтные условия и водные ресурсы. Пластовский муниципальный район расположен на восточном склоне южного Урала  в зоне </w:t>
      </w:r>
      <w:proofErr w:type="gramStart"/>
      <w:r w:rsidRPr="004C41FE">
        <w:rPr>
          <w:rFonts w:ascii="Times New Roman" w:hAnsi="Times New Roman" w:cs="Times New Roman"/>
          <w:sz w:val="28"/>
          <w:szCs w:val="28"/>
        </w:rPr>
        <w:t>Зауральского пенеплена, представляющего древнюю эрозионно-аккумулятивную поверхность выравнивания и охватывает</w:t>
      </w:r>
      <w:proofErr w:type="gramEnd"/>
      <w:r w:rsidRPr="004C41FE">
        <w:rPr>
          <w:rFonts w:ascii="Times New Roman" w:hAnsi="Times New Roman" w:cs="Times New Roman"/>
          <w:sz w:val="28"/>
          <w:szCs w:val="28"/>
        </w:rPr>
        <w:t xml:space="preserve"> площадь сочленения двух региональных структур. Рельеф представляет собой холмисто-грядовую равнину, слабо наклоненную к востоку и расчлененную речными долинами с пологими прямолинейными или вогнутыми склонами. Типичными положительными формами рельефа являются холмы, увалы, реже сопки. Вершины холмов плоские, округлые, склоны пологие. Реки района, </w:t>
      </w:r>
      <w:proofErr w:type="gramStart"/>
      <w:r w:rsidRPr="004C41FE">
        <w:rPr>
          <w:rFonts w:ascii="Times New Roman" w:hAnsi="Times New Roman" w:cs="Times New Roman"/>
          <w:sz w:val="28"/>
          <w:szCs w:val="28"/>
        </w:rPr>
        <w:t>расположенного</w:t>
      </w:r>
      <w:proofErr w:type="gramEnd"/>
      <w:r w:rsidRPr="004C41FE">
        <w:rPr>
          <w:rFonts w:ascii="Times New Roman" w:hAnsi="Times New Roman" w:cs="Times New Roman"/>
          <w:sz w:val="28"/>
          <w:szCs w:val="28"/>
        </w:rPr>
        <w:t xml:space="preserve"> в Южном Зауралье, относятся к системе р. Тобол. Самая крупная река </w:t>
      </w:r>
      <w:proofErr w:type="spellStart"/>
      <w:r w:rsidRPr="004C41FE">
        <w:rPr>
          <w:rFonts w:ascii="Times New Roman" w:hAnsi="Times New Roman" w:cs="Times New Roman"/>
          <w:sz w:val="28"/>
          <w:szCs w:val="28"/>
        </w:rPr>
        <w:t>Уй</w:t>
      </w:r>
      <w:proofErr w:type="spellEnd"/>
      <w:r w:rsidRPr="004C41FE">
        <w:rPr>
          <w:rFonts w:ascii="Times New Roman" w:hAnsi="Times New Roman" w:cs="Times New Roman"/>
          <w:sz w:val="28"/>
          <w:szCs w:val="28"/>
        </w:rPr>
        <w:t xml:space="preserve">, левый приток Тобола. В  реку </w:t>
      </w:r>
      <w:proofErr w:type="spellStart"/>
      <w:r w:rsidRPr="004C41FE">
        <w:rPr>
          <w:rFonts w:ascii="Times New Roman" w:hAnsi="Times New Roman" w:cs="Times New Roman"/>
          <w:sz w:val="28"/>
          <w:szCs w:val="28"/>
        </w:rPr>
        <w:t>Уй</w:t>
      </w:r>
      <w:proofErr w:type="spellEnd"/>
      <w:r w:rsidRPr="004C41FE">
        <w:rPr>
          <w:rFonts w:ascii="Times New Roman" w:hAnsi="Times New Roman" w:cs="Times New Roman"/>
          <w:sz w:val="28"/>
          <w:szCs w:val="28"/>
        </w:rPr>
        <w:t xml:space="preserve"> впадают реки </w:t>
      </w:r>
      <w:proofErr w:type="spellStart"/>
      <w:r w:rsidRPr="004C41FE">
        <w:rPr>
          <w:rFonts w:ascii="Times New Roman" w:hAnsi="Times New Roman" w:cs="Times New Roman"/>
          <w:sz w:val="28"/>
          <w:szCs w:val="28"/>
        </w:rPr>
        <w:t>Увелька</w:t>
      </w:r>
      <w:proofErr w:type="spellEnd"/>
      <w:r w:rsidRPr="004C41FE">
        <w:rPr>
          <w:rFonts w:ascii="Times New Roman" w:hAnsi="Times New Roman" w:cs="Times New Roman"/>
          <w:sz w:val="28"/>
          <w:szCs w:val="28"/>
        </w:rPr>
        <w:t xml:space="preserve">, Санарка, </w:t>
      </w:r>
      <w:proofErr w:type="spellStart"/>
      <w:r w:rsidRPr="004C41FE">
        <w:rPr>
          <w:rFonts w:ascii="Times New Roman" w:hAnsi="Times New Roman" w:cs="Times New Roman"/>
          <w:sz w:val="28"/>
          <w:szCs w:val="28"/>
        </w:rPr>
        <w:t>Курасан</w:t>
      </w:r>
      <w:proofErr w:type="spellEnd"/>
      <w:r w:rsidRPr="004C41FE">
        <w:rPr>
          <w:rFonts w:ascii="Times New Roman" w:hAnsi="Times New Roman" w:cs="Times New Roman"/>
          <w:sz w:val="28"/>
          <w:szCs w:val="28"/>
        </w:rPr>
        <w:t xml:space="preserve"> и Черная. В 6-ти км от г. Пласт протекает </w:t>
      </w:r>
      <w:proofErr w:type="spellStart"/>
      <w:r w:rsidRPr="004C41FE">
        <w:rPr>
          <w:rFonts w:ascii="Times New Roman" w:hAnsi="Times New Roman" w:cs="Times New Roman"/>
          <w:sz w:val="28"/>
          <w:szCs w:val="28"/>
        </w:rPr>
        <w:t>р</w:t>
      </w:r>
      <w:proofErr w:type="gramStart"/>
      <w:r w:rsidRPr="004C41FE">
        <w:rPr>
          <w:rFonts w:ascii="Times New Roman" w:hAnsi="Times New Roman" w:cs="Times New Roman"/>
          <w:sz w:val="28"/>
          <w:szCs w:val="28"/>
        </w:rPr>
        <w:t>.К</w:t>
      </w:r>
      <w:proofErr w:type="gramEnd"/>
      <w:r w:rsidRPr="004C41FE">
        <w:rPr>
          <w:rFonts w:ascii="Times New Roman" w:hAnsi="Times New Roman" w:cs="Times New Roman"/>
          <w:sz w:val="28"/>
          <w:szCs w:val="28"/>
        </w:rPr>
        <w:t>абанка</w:t>
      </w:r>
      <w:proofErr w:type="spellEnd"/>
      <w:r w:rsidRPr="004C41FE">
        <w:rPr>
          <w:rFonts w:ascii="Times New Roman" w:hAnsi="Times New Roman" w:cs="Times New Roman"/>
          <w:sz w:val="28"/>
          <w:szCs w:val="28"/>
        </w:rPr>
        <w:t xml:space="preserve">, левый приток </w:t>
      </w:r>
      <w:proofErr w:type="spellStart"/>
      <w:r w:rsidRPr="004C41FE">
        <w:rPr>
          <w:rFonts w:ascii="Times New Roman" w:hAnsi="Times New Roman" w:cs="Times New Roman"/>
          <w:sz w:val="28"/>
          <w:szCs w:val="28"/>
        </w:rPr>
        <w:t>Увельки</w:t>
      </w:r>
      <w:proofErr w:type="spellEnd"/>
      <w:r w:rsidRPr="004C41FE">
        <w:rPr>
          <w:rFonts w:ascii="Times New Roman" w:hAnsi="Times New Roman" w:cs="Times New Roman"/>
          <w:sz w:val="28"/>
          <w:szCs w:val="28"/>
        </w:rPr>
        <w:t xml:space="preserve">. Все реки имеют, как правило, широтное направление с запада на восток. Исключением является </w:t>
      </w:r>
      <w:proofErr w:type="spellStart"/>
      <w:r w:rsidRPr="004C41FE">
        <w:rPr>
          <w:rFonts w:ascii="Times New Roman" w:hAnsi="Times New Roman" w:cs="Times New Roman"/>
          <w:sz w:val="28"/>
          <w:szCs w:val="28"/>
        </w:rPr>
        <w:t>р</w:t>
      </w:r>
      <w:proofErr w:type="gramStart"/>
      <w:r w:rsidRPr="004C41FE">
        <w:rPr>
          <w:rFonts w:ascii="Times New Roman" w:hAnsi="Times New Roman" w:cs="Times New Roman"/>
          <w:sz w:val="28"/>
          <w:szCs w:val="28"/>
        </w:rPr>
        <w:t>.К</w:t>
      </w:r>
      <w:proofErr w:type="gramEnd"/>
      <w:r w:rsidRPr="004C41FE">
        <w:rPr>
          <w:rFonts w:ascii="Times New Roman" w:hAnsi="Times New Roman" w:cs="Times New Roman"/>
          <w:sz w:val="28"/>
          <w:szCs w:val="28"/>
        </w:rPr>
        <w:t>очкарка</w:t>
      </w:r>
      <w:proofErr w:type="spellEnd"/>
      <w:r w:rsidRPr="004C41FE">
        <w:rPr>
          <w:rFonts w:ascii="Times New Roman" w:hAnsi="Times New Roman" w:cs="Times New Roman"/>
          <w:sz w:val="28"/>
          <w:szCs w:val="28"/>
        </w:rPr>
        <w:t xml:space="preserve">, правый приток </w:t>
      </w:r>
      <w:proofErr w:type="spellStart"/>
      <w:r w:rsidRPr="004C41FE">
        <w:rPr>
          <w:rFonts w:ascii="Times New Roman" w:hAnsi="Times New Roman" w:cs="Times New Roman"/>
          <w:sz w:val="28"/>
          <w:szCs w:val="28"/>
        </w:rPr>
        <w:t>р.Кабанка</w:t>
      </w:r>
      <w:proofErr w:type="spellEnd"/>
      <w:r w:rsidRPr="004C41FE">
        <w:rPr>
          <w:rFonts w:ascii="Times New Roman" w:hAnsi="Times New Roman" w:cs="Times New Roman"/>
          <w:sz w:val="28"/>
          <w:szCs w:val="28"/>
        </w:rPr>
        <w:t>, разрезающая северный район города с юга на север. На р</w:t>
      </w:r>
      <w:proofErr w:type="gramStart"/>
      <w:r w:rsidRPr="004C41FE">
        <w:rPr>
          <w:rFonts w:ascii="Times New Roman" w:hAnsi="Times New Roman" w:cs="Times New Roman"/>
          <w:sz w:val="28"/>
          <w:szCs w:val="28"/>
        </w:rPr>
        <w:t>.Ч</w:t>
      </w:r>
      <w:proofErr w:type="gramEnd"/>
      <w:r w:rsidRPr="004C41FE">
        <w:rPr>
          <w:rFonts w:ascii="Times New Roman" w:hAnsi="Times New Roman" w:cs="Times New Roman"/>
          <w:sz w:val="28"/>
          <w:szCs w:val="28"/>
        </w:rPr>
        <w:t>ерной образовано несколько прудов. В каждом населенном пункте имеются реки, водоемы что, создает благоприятные условия для разведения домашней водоплавающей птицы, рыбы.</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Лесные ресурсы. Общая площадь лесного фонда на территории Пластовского района составляет 76 тыс.га. Протяженность территории с севера на юг </w:t>
      </w:r>
      <w:smartTag w:uri="urn:schemas-microsoft-com:office:smarttags" w:element="metricconverter">
        <w:smartTagPr>
          <w:attr w:name="ProductID" w:val="60 км"/>
        </w:smartTagPr>
        <w:r w:rsidRPr="004C41FE">
          <w:rPr>
            <w:rFonts w:ascii="Times New Roman" w:hAnsi="Times New Roman" w:cs="Times New Roman"/>
            <w:sz w:val="28"/>
            <w:szCs w:val="28"/>
          </w:rPr>
          <w:t>60 км</w:t>
        </w:r>
      </w:smartTag>
      <w:r w:rsidRPr="004C41FE">
        <w:rPr>
          <w:rFonts w:ascii="Times New Roman" w:hAnsi="Times New Roman" w:cs="Times New Roman"/>
          <w:sz w:val="28"/>
          <w:szCs w:val="28"/>
        </w:rPr>
        <w:t xml:space="preserve">, с запада на восток- </w:t>
      </w:r>
      <w:smartTag w:uri="urn:schemas-microsoft-com:office:smarttags" w:element="metricconverter">
        <w:smartTagPr>
          <w:attr w:name="ProductID" w:val="43 км"/>
        </w:smartTagPr>
        <w:r w:rsidRPr="004C41FE">
          <w:rPr>
            <w:rFonts w:ascii="Times New Roman" w:hAnsi="Times New Roman" w:cs="Times New Roman"/>
            <w:sz w:val="28"/>
            <w:szCs w:val="28"/>
          </w:rPr>
          <w:t>43 км</w:t>
        </w:r>
      </w:smartTag>
      <w:r w:rsidRPr="004C41FE">
        <w:rPr>
          <w:rFonts w:ascii="Times New Roman" w:hAnsi="Times New Roman" w:cs="Times New Roman"/>
          <w:sz w:val="28"/>
          <w:szCs w:val="28"/>
        </w:rPr>
        <w:t>. Средняя лесистость по району 24%. Преобладающие породы: береза 36,559 тыс.га. (57%), сосна-25,582тыс</w:t>
      </w:r>
      <w:proofErr w:type="gramStart"/>
      <w:r w:rsidRPr="004C41FE">
        <w:rPr>
          <w:rFonts w:ascii="Times New Roman" w:hAnsi="Times New Roman" w:cs="Times New Roman"/>
          <w:sz w:val="28"/>
          <w:szCs w:val="28"/>
        </w:rPr>
        <w:t>.г</w:t>
      </w:r>
      <w:proofErr w:type="gramEnd"/>
      <w:r w:rsidRPr="004C41FE">
        <w:rPr>
          <w:rFonts w:ascii="Times New Roman" w:hAnsi="Times New Roman" w:cs="Times New Roman"/>
          <w:sz w:val="28"/>
          <w:szCs w:val="28"/>
        </w:rPr>
        <w:t>а (40%)</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Пластовский район расположен в лесостепной зоне Верхнеуральского лесостепного округа Зауральской предгорно-равнинной провинции, которая входит в </w:t>
      </w:r>
      <w:proofErr w:type="spellStart"/>
      <w:r w:rsidRPr="004C41FE">
        <w:rPr>
          <w:rFonts w:ascii="Times New Roman" w:hAnsi="Times New Roman" w:cs="Times New Roman"/>
          <w:sz w:val="28"/>
          <w:szCs w:val="28"/>
        </w:rPr>
        <w:t>Западно-Сибирскую</w:t>
      </w:r>
      <w:proofErr w:type="spellEnd"/>
      <w:r w:rsidRPr="004C41FE">
        <w:rPr>
          <w:rFonts w:ascii="Times New Roman" w:hAnsi="Times New Roman" w:cs="Times New Roman"/>
          <w:sz w:val="28"/>
          <w:szCs w:val="28"/>
        </w:rPr>
        <w:t xml:space="preserve"> равнинную лесорастительную область.</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В растительном покрове района березовые и осиново-березовые колки и островные сосновые боры сочетаются с луговыми и настоящими злаково-разнотравными степями, </w:t>
      </w:r>
      <w:proofErr w:type="spellStart"/>
      <w:r w:rsidRPr="004C41FE">
        <w:rPr>
          <w:rFonts w:ascii="Times New Roman" w:hAnsi="Times New Roman" w:cs="Times New Roman"/>
          <w:sz w:val="28"/>
          <w:szCs w:val="28"/>
        </w:rPr>
        <w:t>петрофитными</w:t>
      </w:r>
      <w:proofErr w:type="spellEnd"/>
      <w:r w:rsidRPr="004C41FE">
        <w:rPr>
          <w:rFonts w:ascii="Times New Roman" w:hAnsi="Times New Roman" w:cs="Times New Roman"/>
          <w:sz w:val="28"/>
          <w:szCs w:val="28"/>
        </w:rPr>
        <w:t xml:space="preserve"> степями, а также пойменными и </w:t>
      </w:r>
      <w:proofErr w:type="spellStart"/>
      <w:r w:rsidRPr="004C41FE">
        <w:rPr>
          <w:rFonts w:ascii="Times New Roman" w:hAnsi="Times New Roman" w:cs="Times New Roman"/>
          <w:sz w:val="28"/>
          <w:szCs w:val="28"/>
        </w:rPr>
        <w:t>остепненными</w:t>
      </w:r>
      <w:proofErr w:type="spellEnd"/>
      <w:r w:rsidRPr="004C41FE">
        <w:rPr>
          <w:rFonts w:ascii="Times New Roman" w:hAnsi="Times New Roman" w:cs="Times New Roman"/>
          <w:sz w:val="28"/>
          <w:szCs w:val="28"/>
        </w:rPr>
        <w:t xml:space="preserve"> лугами.</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Характерный элемент растительности района – островные сосновые боры на выходах гранитов (</w:t>
      </w:r>
      <w:proofErr w:type="spellStart"/>
      <w:r w:rsidRPr="004C41FE">
        <w:rPr>
          <w:rFonts w:ascii="Times New Roman" w:hAnsi="Times New Roman" w:cs="Times New Roman"/>
          <w:sz w:val="28"/>
          <w:szCs w:val="28"/>
        </w:rPr>
        <w:t>Демаринский</w:t>
      </w:r>
      <w:proofErr w:type="spellEnd"/>
      <w:r w:rsidRPr="004C41FE">
        <w:rPr>
          <w:rFonts w:ascii="Times New Roman" w:hAnsi="Times New Roman" w:cs="Times New Roman"/>
          <w:sz w:val="28"/>
          <w:szCs w:val="28"/>
        </w:rPr>
        <w:t xml:space="preserve">, </w:t>
      </w:r>
      <w:proofErr w:type="spellStart"/>
      <w:r w:rsidRPr="004C41FE">
        <w:rPr>
          <w:rFonts w:ascii="Times New Roman" w:hAnsi="Times New Roman" w:cs="Times New Roman"/>
          <w:sz w:val="28"/>
          <w:szCs w:val="28"/>
        </w:rPr>
        <w:t>Санарский</w:t>
      </w:r>
      <w:proofErr w:type="spellEnd"/>
      <w:r w:rsidRPr="004C41FE">
        <w:rPr>
          <w:rFonts w:ascii="Times New Roman" w:hAnsi="Times New Roman" w:cs="Times New Roman"/>
          <w:sz w:val="28"/>
          <w:szCs w:val="28"/>
        </w:rPr>
        <w:t>) занимающие значительные площади.</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Леса Пластовского района отнесены к 1 группе лесов с разделением на следующие категории </w:t>
      </w:r>
      <w:proofErr w:type="spellStart"/>
      <w:r w:rsidRPr="004C41FE">
        <w:rPr>
          <w:rFonts w:ascii="Times New Roman" w:hAnsi="Times New Roman" w:cs="Times New Roman"/>
          <w:sz w:val="28"/>
          <w:szCs w:val="28"/>
        </w:rPr>
        <w:t>защитности</w:t>
      </w:r>
      <w:proofErr w:type="spellEnd"/>
      <w:r w:rsidRPr="004C41FE">
        <w:rPr>
          <w:rFonts w:ascii="Times New Roman" w:hAnsi="Times New Roman" w:cs="Times New Roman"/>
          <w:sz w:val="28"/>
          <w:szCs w:val="28"/>
        </w:rPr>
        <w:t xml:space="preserve">: особо ценные лесные массивы, противоэрозионные леса, лесопарковая часть лесов зеленой зоны, защитные полосы лесов вдоль автомобильных дорог, другие леса на пустынных, полупустынных, степных, лесостепных и малолесных горных территориях, имеющие </w:t>
      </w:r>
      <w:proofErr w:type="gramStart"/>
      <w:r w:rsidRPr="004C41FE">
        <w:rPr>
          <w:rFonts w:ascii="Times New Roman" w:hAnsi="Times New Roman" w:cs="Times New Roman"/>
          <w:sz w:val="28"/>
          <w:szCs w:val="28"/>
        </w:rPr>
        <w:t>важное значение</w:t>
      </w:r>
      <w:proofErr w:type="gramEnd"/>
      <w:r w:rsidRPr="004C41FE">
        <w:rPr>
          <w:rFonts w:ascii="Times New Roman" w:hAnsi="Times New Roman" w:cs="Times New Roman"/>
          <w:sz w:val="28"/>
          <w:szCs w:val="28"/>
        </w:rPr>
        <w:t xml:space="preserve"> для защиты окружающей среды.</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С целью сохранения целостности естественных экосистем, уникальных природных комплексов на территории района образованы особо охраняемые природные территории. Общая площадь особо охраняемых природных территорий регионального значения по району 32,9626 тыс</w:t>
      </w:r>
      <w:proofErr w:type="gramStart"/>
      <w:r w:rsidRPr="004C41FE">
        <w:rPr>
          <w:rFonts w:ascii="Times New Roman" w:hAnsi="Times New Roman" w:cs="Times New Roman"/>
          <w:sz w:val="28"/>
          <w:szCs w:val="28"/>
        </w:rPr>
        <w:t>.г</w:t>
      </w:r>
      <w:proofErr w:type="gramEnd"/>
      <w:r w:rsidRPr="004C41FE">
        <w:rPr>
          <w:rFonts w:ascii="Times New Roman" w:hAnsi="Times New Roman" w:cs="Times New Roman"/>
          <w:sz w:val="28"/>
          <w:szCs w:val="28"/>
        </w:rPr>
        <w:t xml:space="preserve">а, в </w:t>
      </w:r>
      <w:r w:rsidRPr="004C41FE">
        <w:rPr>
          <w:rFonts w:ascii="Times New Roman" w:hAnsi="Times New Roman" w:cs="Times New Roman"/>
          <w:sz w:val="28"/>
          <w:szCs w:val="28"/>
        </w:rPr>
        <w:lastRenderedPageBreak/>
        <w:t xml:space="preserve">том числе 31,588 тыс. га </w:t>
      </w:r>
      <w:proofErr w:type="spellStart"/>
      <w:r w:rsidRPr="004C41FE">
        <w:rPr>
          <w:rFonts w:ascii="Times New Roman" w:hAnsi="Times New Roman" w:cs="Times New Roman"/>
          <w:sz w:val="28"/>
          <w:szCs w:val="28"/>
        </w:rPr>
        <w:t>Санарский</w:t>
      </w:r>
      <w:proofErr w:type="spellEnd"/>
      <w:r w:rsidRPr="004C41FE">
        <w:rPr>
          <w:rFonts w:ascii="Times New Roman" w:hAnsi="Times New Roman" w:cs="Times New Roman"/>
          <w:sz w:val="28"/>
          <w:szCs w:val="28"/>
        </w:rPr>
        <w:t xml:space="preserve"> государственный природный комплексный заказник Челябинской области, 1,038 тыс.га </w:t>
      </w:r>
      <w:proofErr w:type="spellStart"/>
      <w:r w:rsidRPr="004C41FE">
        <w:rPr>
          <w:rFonts w:ascii="Times New Roman" w:hAnsi="Times New Roman" w:cs="Times New Roman"/>
          <w:sz w:val="28"/>
          <w:szCs w:val="28"/>
        </w:rPr>
        <w:t>Демаринский</w:t>
      </w:r>
      <w:proofErr w:type="spellEnd"/>
      <w:r w:rsidRPr="004C41FE">
        <w:rPr>
          <w:rFonts w:ascii="Times New Roman" w:hAnsi="Times New Roman" w:cs="Times New Roman"/>
          <w:sz w:val="28"/>
          <w:szCs w:val="28"/>
        </w:rPr>
        <w:t xml:space="preserve"> бор памятник природы.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Туристические ресурсы. Села Пластовского района знамениты своими памятниками природы </w:t>
      </w:r>
      <w:proofErr w:type="spellStart"/>
      <w:r w:rsidRPr="004C41FE">
        <w:rPr>
          <w:rFonts w:ascii="Times New Roman" w:hAnsi="Times New Roman" w:cs="Times New Roman"/>
          <w:sz w:val="28"/>
          <w:szCs w:val="28"/>
        </w:rPr>
        <w:t>Санарский</w:t>
      </w:r>
      <w:proofErr w:type="spellEnd"/>
      <w:r w:rsidRPr="004C41FE">
        <w:rPr>
          <w:rFonts w:ascii="Times New Roman" w:hAnsi="Times New Roman" w:cs="Times New Roman"/>
          <w:sz w:val="28"/>
          <w:szCs w:val="28"/>
        </w:rPr>
        <w:t xml:space="preserve"> бор, </w:t>
      </w:r>
      <w:proofErr w:type="spellStart"/>
      <w:r w:rsidRPr="004C41FE">
        <w:rPr>
          <w:rFonts w:ascii="Times New Roman" w:hAnsi="Times New Roman" w:cs="Times New Roman"/>
          <w:sz w:val="28"/>
          <w:szCs w:val="28"/>
        </w:rPr>
        <w:t>Демаринский</w:t>
      </w:r>
      <w:proofErr w:type="spellEnd"/>
      <w:r w:rsidRPr="004C41FE">
        <w:rPr>
          <w:rFonts w:ascii="Times New Roman" w:hAnsi="Times New Roman" w:cs="Times New Roman"/>
          <w:sz w:val="28"/>
          <w:szCs w:val="28"/>
        </w:rPr>
        <w:t xml:space="preserve"> бор, </w:t>
      </w:r>
      <w:proofErr w:type="spellStart"/>
      <w:r w:rsidRPr="004C41FE">
        <w:rPr>
          <w:rFonts w:ascii="Times New Roman" w:hAnsi="Times New Roman" w:cs="Times New Roman"/>
          <w:sz w:val="28"/>
          <w:szCs w:val="28"/>
        </w:rPr>
        <w:t>Борисовские</w:t>
      </w:r>
      <w:proofErr w:type="spellEnd"/>
      <w:r w:rsidRPr="004C41FE">
        <w:rPr>
          <w:rFonts w:ascii="Times New Roman" w:hAnsi="Times New Roman" w:cs="Times New Roman"/>
          <w:sz w:val="28"/>
          <w:szCs w:val="28"/>
        </w:rPr>
        <w:t xml:space="preserve"> сопки, Жуковская копь, Андреевский каменный карьер, Круговое углубление (</w:t>
      </w:r>
      <w:proofErr w:type="spellStart"/>
      <w:r w:rsidRPr="004C41FE">
        <w:rPr>
          <w:rFonts w:ascii="Times New Roman" w:hAnsi="Times New Roman" w:cs="Times New Roman"/>
          <w:sz w:val="28"/>
          <w:szCs w:val="28"/>
        </w:rPr>
        <w:t>Андрееюльевск</w:t>
      </w:r>
      <w:proofErr w:type="spellEnd"/>
      <w:r w:rsidRPr="004C41FE">
        <w:rPr>
          <w:rFonts w:ascii="Times New Roman" w:hAnsi="Times New Roman" w:cs="Times New Roman"/>
          <w:sz w:val="28"/>
          <w:szCs w:val="28"/>
        </w:rPr>
        <w:t>), в селе Степном расположен историко-археологический центр «</w:t>
      </w:r>
      <w:proofErr w:type="spellStart"/>
      <w:r w:rsidRPr="004C41FE">
        <w:rPr>
          <w:rFonts w:ascii="Times New Roman" w:hAnsi="Times New Roman" w:cs="Times New Roman"/>
          <w:sz w:val="28"/>
          <w:szCs w:val="28"/>
        </w:rPr>
        <w:t>Аркаим</w:t>
      </w:r>
      <w:proofErr w:type="spellEnd"/>
      <w:r w:rsidRPr="004C41FE">
        <w:rPr>
          <w:rFonts w:ascii="Times New Roman" w:hAnsi="Times New Roman" w:cs="Times New Roman"/>
          <w:sz w:val="28"/>
          <w:szCs w:val="28"/>
        </w:rPr>
        <w:t xml:space="preserve">», имеются туристические геологические маршруты, памятники архитектурных строений – храмы в селах Верхняя Санарка, Кочкарь и Демарино. </w:t>
      </w:r>
    </w:p>
    <w:p w:rsidR="004C41FE" w:rsidRPr="004C41FE" w:rsidRDefault="004C41FE" w:rsidP="004C41FE">
      <w:pPr>
        <w:spacing w:after="0" w:line="240" w:lineRule="auto"/>
        <w:ind w:hanging="1134"/>
        <w:jc w:val="right"/>
        <w:rPr>
          <w:rFonts w:ascii="Times New Roman" w:hAnsi="Times New Roman" w:cs="Times New Roman"/>
        </w:rPr>
      </w:pPr>
    </w:p>
    <w:p w:rsidR="004C41FE" w:rsidRPr="004C41FE" w:rsidRDefault="004C41FE" w:rsidP="004C41FE">
      <w:pPr>
        <w:spacing w:after="0" w:line="240" w:lineRule="auto"/>
        <w:ind w:hanging="1134"/>
        <w:jc w:val="right"/>
        <w:rPr>
          <w:rFonts w:ascii="Times New Roman" w:hAnsi="Times New Roman" w:cs="Times New Roman"/>
        </w:rPr>
      </w:pPr>
      <w:r w:rsidRPr="004C41FE">
        <w:rPr>
          <w:rFonts w:ascii="Times New Roman" w:hAnsi="Times New Roman" w:cs="Times New Roman"/>
        </w:rPr>
        <w:t>Рис.1</w:t>
      </w:r>
    </w:p>
    <w:p w:rsidR="004C41FE" w:rsidRPr="004C41FE" w:rsidRDefault="004C41FE" w:rsidP="004C41FE">
      <w:pPr>
        <w:spacing w:after="0" w:line="240" w:lineRule="auto"/>
        <w:rPr>
          <w:rFonts w:ascii="Times New Roman" w:hAnsi="Times New Roman" w:cs="Times New Roman"/>
          <w:sz w:val="26"/>
          <w:szCs w:val="26"/>
        </w:rPr>
      </w:pPr>
      <w:r w:rsidRPr="004C41FE">
        <w:rPr>
          <w:rFonts w:ascii="Times New Roman" w:hAnsi="Times New Roman" w:cs="Times New Roman"/>
          <w:sz w:val="26"/>
          <w:szCs w:val="26"/>
        </w:rPr>
        <w:t xml:space="preserve">         Схема территориального планирования Пластовского муниципального района</w:t>
      </w:r>
    </w:p>
    <w:p w:rsidR="004C41FE" w:rsidRPr="004C41FE" w:rsidRDefault="004C41FE" w:rsidP="004C41FE">
      <w:pPr>
        <w:spacing w:after="0" w:line="240" w:lineRule="auto"/>
        <w:rPr>
          <w:rFonts w:ascii="Times New Roman" w:hAnsi="Times New Roman" w:cs="Times New Roman"/>
          <w:sz w:val="26"/>
          <w:szCs w:val="26"/>
          <w:highlight w:val="yellow"/>
        </w:rPr>
      </w:pPr>
    </w:p>
    <w:p w:rsidR="004C41FE" w:rsidRPr="004C41FE" w:rsidRDefault="004C41FE" w:rsidP="004C41FE">
      <w:pPr>
        <w:spacing w:after="0" w:line="240" w:lineRule="auto"/>
        <w:ind w:hanging="2411"/>
        <w:jc w:val="center"/>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4413250" cy="5104765"/>
            <wp:effectExtent l="19050" t="0" r="6350" b="0"/>
            <wp:docPr id="2" name="Рисунок 2" descr="Опорный план П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орный план ПМР"/>
                    <pic:cNvPicPr>
                      <a:picLocks noChangeAspect="1" noChangeArrowheads="1"/>
                    </pic:cNvPicPr>
                  </pic:nvPicPr>
                  <pic:blipFill>
                    <a:blip r:embed="rId6" cstate="print"/>
                    <a:srcRect/>
                    <a:stretch>
                      <a:fillRect/>
                    </a:stretch>
                  </pic:blipFill>
                  <pic:spPr bwMode="auto">
                    <a:xfrm>
                      <a:off x="0" y="0"/>
                      <a:ext cx="4413250" cy="5104765"/>
                    </a:xfrm>
                    <a:prstGeom prst="rect">
                      <a:avLst/>
                    </a:prstGeom>
                    <a:noFill/>
                    <a:ln w="9525">
                      <a:noFill/>
                      <a:miter lim="800000"/>
                      <a:headEnd/>
                      <a:tailEnd/>
                    </a:ln>
                  </pic:spPr>
                </pic:pic>
              </a:graphicData>
            </a:graphic>
          </wp:inline>
        </w:drawing>
      </w:r>
    </w:p>
    <w:p w:rsidR="004C41FE" w:rsidRPr="004C41FE" w:rsidRDefault="004C41FE" w:rsidP="004C41FE">
      <w:pPr>
        <w:spacing w:after="0" w:line="240" w:lineRule="auto"/>
        <w:ind w:hanging="1134"/>
        <w:rPr>
          <w:rFonts w:ascii="Times New Roman" w:hAnsi="Times New Roman" w:cs="Times New Roman"/>
          <w:sz w:val="26"/>
          <w:szCs w:val="26"/>
        </w:rPr>
      </w:pPr>
    </w:p>
    <w:p w:rsidR="004C41FE" w:rsidRPr="004C41FE" w:rsidRDefault="004C41FE" w:rsidP="004C41FE">
      <w:pPr>
        <w:spacing w:after="0" w:line="240" w:lineRule="auto"/>
        <w:ind w:hanging="1134"/>
        <w:rPr>
          <w:rFonts w:ascii="Times New Roman" w:hAnsi="Times New Roman" w:cs="Times New Roman"/>
          <w:sz w:val="26"/>
          <w:szCs w:val="26"/>
        </w:rPr>
      </w:pPr>
    </w:p>
    <w:p w:rsidR="004C41FE" w:rsidRPr="004C41FE" w:rsidRDefault="004C41FE" w:rsidP="007236B4">
      <w:pPr>
        <w:spacing w:after="0" w:line="240" w:lineRule="auto"/>
        <w:rPr>
          <w:rFonts w:ascii="Times New Roman" w:hAnsi="Times New Roman" w:cs="Times New Roman"/>
          <w:sz w:val="26"/>
          <w:szCs w:val="26"/>
        </w:rPr>
      </w:pPr>
      <w:r w:rsidRPr="004C41FE">
        <w:rPr>
          <w:rFonts w:ascii="Times New Roman" w:hAnsi="Times New Roman" w:cs="Times New Roman"/>
          <w:sz w:val="26"/>
          <w:szCs w:val="26"/>
        </w:rPr>
        <w:t>Глава 2.  ДЕМОГРАФИЧЕСКАЯ СИТУАЦИЯ И ПОТЕНЦИАЛ ТРУДОВЫХ РЕСУРСОВ</w:t>
      </w:r>
    </w:p>
    <w:p w:rsidR="004C41FE" w:rsidRPr="004C41FE" w:rsidRDefault="004C41FE" w:rsidP="004C41FE">
      <w:pPr>
        <w:spacing w:after="0" w:line="240" w:lineRule="auto"/>
        <w:ind w:firstLine="851"/>
        <w:jc w:val="both"/>
        <w:rPr>
          <w:rFonts w:ascii="Times New Roman" w:hAnsi="Times New Roman" w:cs="Times New Roman"/>
          <w:sz w:val="26"/>
          <w:szCs w:val="26"/>
        </w:rPr>
      </w:pPr>
    </w:p>
    <w:p w:rsidR="004C41FE" w:rsidRPr="004C41FE" w:rsidRDefault="004C41FE" w:rsidP="004C41FE">
      <w:pPr>
        <w:shd w:val="clear" w:color="auto" w:fill="FFFFFF"/>
        <w:spacing w:after="0" w:line="240" w:lineRule="auto"/>
        <w:ind w:firstLine="709"/>
        <w:jc w:val="both"/>
        <w:rPr>
          <w:rFonts w:ascii="Times New Roman" w:hAnsi="Times New Roman" w:cs="Times New Roman"/>
          <w:sz w:val="28"/>
          <w:szCs w:val="28"/>
        </w:rPr>
      </w:pPr>
      <w:r w:rsidRPr="004C41FE">
        <w:rPr>
          <w:rFonts w:ascii="Times New Roman" w:hAnsi="Times New Roman" w:cs="Times New Roman"/>
          <w:sz w:val="28"/>
          <w:szCs w:val="28"/>
        </w:rPr>
        <w:t>Численность населения Пластовского муниципального района</w:t>
      </w:r>
    </w:p>
    <w:p w:rsidR="004C41FE" w:rsidRPr="004C41FE" w:rsidRDefault="004C41FE" w:rsidP="004C41FE">
      <w:pPr>
        <w:shd w:val="clear" w:color="auto" w:fill="FFFFFF"/>
        <w:spacing w:after="0" w:line="240" w:lineRule="auto"/>
        <w:ind w:firstLine="709"/>
        <w:jc w:val="both"/>
        <w:rPr>
          <w:rFonts w:ascii="Times New Roman" w:hAnsi="Times New Roman" w:cs="Times New Roman"/>
          <w:sz w:val="28"/>
          <w:szCs w:val="28"/>
        </w:rPr>
      </w:pPr>
      <w:r w:rsidRPr="004C41FE">
        <w:rPr>
          <w:rFonts w:ascii="Times New Roman" w:hAnsi="Times New Roman" w:cs="Times New Roman"/>
          <w:sz w:val="28"/>
          <w:szCs w:val="28"/>
        </w:rPr>
        <w:lastRenderedPageBreak/>
        <w:t xml:space="preserve"> По данным Всероссийской переписи населения 2010 года численность населения муниципального района составляла 26,209 тыс. чел. (0,75% от численности населения </w:t>
      </w:r>
      <w:r w:rsidRPr="004C41FE">
        <w:rPr>
          <w:rFonts w:ascii="Times New Roman" w:hAnsi="Times New Roman" w:cs="Times New Roman"/>
          <w:spacing w:val="-1"/>
          <w:sz w:val="28"/>
          <w:szCs w:val="28"/>
        </w:rPr>
        <w:t xml:space="preserve">Челябинской области), а уже по итогам 2018 года среднегодовая численность уменьшилась </w:t>
      </w:r>
      <w:r w:rsidRPr="004C41FE">
        <w:rPr>
          <w:rFonts w:ascii="Times New Roman" w:hAnsi="Times New Roman" w:cs="Times New Roman"/>
          <w:sz w:val="28"/>
          <w:szCs w:val="28"/>
        </w:rPr>
        <w:t>до 25,314 тыс. человек (0,73 % от среднегодовой численности Челябинской области). Снижение по сравнению с 2010 годом составило 3,41 %.</w:t>
      </w:r>
    </w:p>
    <w:p w:rsidR="004C41FE" w:rsidRPr="004C41FE" w:rsidRDefault="004C41FE" w:rsidP="004C41FE">
      <w:pPr>
        <w:pStyle w:val="a6"/>
        <w:spacing w:after="0"/>
        <w:ind w:firstLine="709"/>
        <w:jc w:val="both"/>
        <w:rPr>
          <w:bCs/>
          <w:sz w:val="28"/>
          <w:szCs w:val="28"/>
        </w:rPr>
      </w:pPr>
      <w:r w:rsidRPr="004C41FE">
        <w:rPr>
          <w:bCs/>
          <w:sz w:val="28"/>
          <w:szCs w:val="28"/>
        </w:rPr>
        <w:t>Одной из серьезных проблем демографического развития района является уровень смертности. Снижение смертности – один из факторов сокращения ежегодных потерь численности населения.</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sz w:val="28"/>
          <w:szCs w:val="28"/>
        </w:rPr>
        <w:t>По численности населения район занимает 18-е место среди муниципальных районов Челябинской области:</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p>
    <w:p w:rsidR="004C41FE" w:rsidRPr="004C41FE" w:rsidRDefault="004C41FE" w:rsidP="004C41FE">
      <w:pPr>
        <w:shd w:val="clear" w:color="auto" w:fill="FFFFFF"/>
        <w:spacing w:after="0" w:line="240" w:lineRule="auto"/>
        <w:ind w:firstLine="706"/>
        <w:jc w:val="right"/>
        <w:rPr>
          <w:rFonts w:ascii="Times New Roman" w:hAnsi="Times New Roman" w:cs="Times New Roman"/>
        </w:rPr>
      </w:pPr>
      <w:r w:rsidRPr="004C41FE">
        <w:rPr>
          <w:rFonts w:ascii="Times New Roman" w:hAnsi="Times New Roman" w:cs="Times New Roman"/>
        </w:rPr>
        <w:t>Диаграмма 1</w:t>
      </w:r>
    </w:p>
    <w:p w:rsidR="004C41FE" w:rsidRPr="004C41FE" w:rsidRDefault="004C41FE" w:rsidP="004C41FE">
      <w:pPr>
        <w:shd w:val="clear" w:color="auto" w:fill="FFFFFF"/>
        <w:spacing w:after="0" w:line="240" w:lineRule="auto"/>
        <w:ind w:firstLine="709"/>
        <w:jc w:val="center"/>
        <w:rPr>
          <w:rFonts w:ascii="Times New Roman" w:hAnsi="Times New Roman" w:cs="Times New Roman"/>
        </w:rPr>
      </w:pPr>
      <w:r w:rsidRPr="004C41FE">
        <w:rPr>
          <w:rFonts w:ascii="Times New Roman" w:hAnsi="Times New Roman" w:cs="Times New Roman"/>
        </w:rPr>
        <w:t>Среднегодовая численность населения по муниципальным районам Челябинской области по итогам 2018 года (человек)</w:t>
      </w:r>
    </w:p>
    <w:p w:rsidR="004C41FE" w:rsidRPr="004C41FE" w:rsidRDefault="004C41FE" w:rsidP="004C41FE">
      <w:pPr>
        <w:shd w:val="clear" w:color="auto" w:fill="FFFFFF"/>
        <w:spacing w:after="0" w:line="240" w:lineRule="auto"/>
        <w:ind w:firstLine="706"/>
        <w:jc w:val="both"/>
        <w:rPr>
          <w:rFonts w:ascii="Times New Roman" w:hAnsi="Times New Roman" w:cs="Times New Roman"/>
          <w:sz w:val="28"/>
          <w:szCs w:val="28"/>
        </w:rPr>
      </w:pPr>
      <w:r w:rsidRPr="004C41FE">
        <w:rPr>
          <w:rFonts w:ascii="Times New Roman" w:hAnsi="Times New Roman" w:cs="Times New Roman"/>
          <w:noProof/>
        </w:rPr>
        <w:drawing>
          <wp:inline distT="0" distB="0" distL="0" distR="0">
            <wp:extent cx="5152390" cy="27432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rPr>
          <w:rFonts w:ascii="Times New Roman" w:hAnsi="Times New Roman" w:cs="Times New Roman"/>
          <w:noProof/>
        </w:rPr>
      </w:pPr>
    </w:p>
    <w:p w:rsidR="004C41FE" w:rsidRPr="004C41FE" w:rsidRDefault="004C41FE" w:rsidP="004C41FE">
      <w:pPr>
        <w:spacing w:after="0" w:line="240" w:lineRule="auto"/>
        <w:jc w:val="right"/>
        <w:rPr>
          <w:rFonts w:ascii="Times New Roman" w:hAnsi="Times New Roman" w:cs="Times New Roman"/>
          <w:noProof/>
        </w:rPr>
      </w:pPr>
      <w:r w:rsidRPr="004C41FE">
        <w:rPr>
          <w:rFonts w:ascii="Times New Roman" w:hAnsi="Times New Roman" w:cs="Times New Roman"/>
          <w:noProof/>
        </w:rPr>
        <w:t>Диаграмма 2</w:t>
      </w:r>
    </w:p>
    <w:p w:rsidR="004C41FE" w:rsidRPr="004C41FE" w:rsidRDefault="004C41FE" w:rsidP="004C41FE">
      <w:pPr>
        <w:spacing w:after="0" w:line="240" w:lineRule="auto"/>
        <w:jc w:val="center"/>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5263515" cy="209105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C41FE" w:rsidRPr="004C41FE" w:rsidRDefault="004C41FE" w:rsidP="004C41FE">
      <w:pPr>
        <w:spacing w:after="0" w:line="240" w:lineRule="auto"/>
        <w:jc w:val="center"/>
        <w:rPr>
          <w:rFonts w:ascii="Times New Roman" w:hAnsi="Times New Roman" w:cs="Times New Roman"/>
          <w:sz w:val="26"/>
          <w:szCs w:val="26"/>
        </w:rPr>
      </w:pPr>
      <w:r w:rsidRPr="004C41FE">
        <w:rPr>
          <w:rFonts w:ascii="Times New Roman" w:hAnsi="Times New Roman" w:cs="Times New Roman"/>
          <w:noProof/>
          <w:sz w:val="26"/>
          <w:szCs w:val="26"/>
        </w:rPr>
        <w:lastRenderedPageBreak/>
        <w:drawing>
          <wp:inline distT="0" distB="0" distL="0" distR="0">
            <wp:extent cx="5621655" cy="232156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Таблица 1</w:t>
      </w: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sz w:val="28"/>
          <w:szCs w:val="28"/>
        </w:rPr>
        <w:t xml:space="preserve">Численность постоянного населения </w:t>
      </w:r>
    </w:p>
    <w:p w:rsidR="004C41FE" w:rsidRPr="004C41FE" w:rsidRDefault="004C41FE" w:rsidP="004C41FE">
      <w:pPr>
        <w:spacing w:after="0" w:line="240" w:lineRule="auto"/>
        <w:jc w:val="center"/>
        <w:rPr>
          <w:rFonts w:ascii="Times New Roman" w:hAnsi="Times New Roman" w:cs="Times New Roman"/>
          <w:sz w:val="20"/>
          <w:szCs w:val="20"/>
        </w:rPr>
      </w:pPr>
      <w:r w:rsidRPr="004C41FE">
        <w:rPr>
          <w:rFonts w:ascii="Times New Roman" w:hAnsi="Times New Roman" w:cs="Times New Roman"/>
          <w:sz w:val="28"/>
          <w:szCs w:val="28"/>
        </w:rPr>
        <w:t>по Пластовскому муниципальному району</w:t>
      </w: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 xml:space="preserve"> </w:t>
      </w: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(на начало года, человек)</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851"/>
        <w:gridCol w:w="851"/>
        <w:gridCol w:w="850"/>
        <w:gridCol w:w="851"/>
        <w:gridCol w:w="850"/>
        <w:gridCol w:w="851"/>
        <w:gridCol w:w="850"/>
        <w:gridCol w:w="851"/>
        <w:gridCol w:w="992"/>
        <w:gridCol w:w="850"/>
      </w:tblGrid>
      <w:tr w:rsidR="004C41FE" w:rsidRPr="004C41FE" w:rsidTr="00D07965">
        <w:trPr>
          <w:trHeight w:val="459"/>
        </w:trPr>
        <w:tc>
          <w:tcPr>
            <w:tcW w:w="1560" w:type="dxa"/>
            <w:tcBorders>
              <w:bottom w:val="single" w:sz="4" w:space="0" w:color="auto"/>
            </w:tcBorders>
            <w:shd w:val="clear" w:color="auto" w:fill="CCFFCC"/>
          </w:tcPr>
          <w:p w:rsidR="004C41FE" w:rsidRPr="004C41FE" w:rsidRDefault="004C41FE" w:rsidP="004C41FE">
            <w:pPr>
              <w:spacing w:after="0" w:line="240" w:lineRule="auto"/>
              <w:jc w:val="both"/>
              <w:rPr>
                <w:rFonts w:ascii="Times New Roman" w:hAnsi="Times New Roman" w:cs="Times New Roman"/>
              </w:rPr>
            </w:pPr>
          </w:p>
        </w:tc>
        <w:tc>
          <w:tcPr>
            <w:tcW w:w="851"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2010</w:t>
            </w:r>
          </w:p>
        </w:tc>
        <w:tc>
          <w:tcPr>
            <w:tcW w:w="851"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2011</w:t>
            </w:r>
          </w:p>
        </w:tc>
        <w:tc>
          <w:tcPr>
            <w:tcW w:w="850"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2012</w:t>
            </w:r>
          </w:p>
        </w:tc>
        <w:tc>
          <w:tcPr>
            <w:tcW w:w="851"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2013</w:t>
            </w:r>
          </w:p>
        </w:tc>
        <w:tc>
          <w:tcPr>
            <w:tcW w:w="850"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2014</w:t>
            </w:r>
          </w:p>
        </w:tc>
        <w:tc>
          <w:tcPr>
            <w:tcW w:w="851"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2015</w:t>
            </w:r>
          </w:p>
        </w:tc>
        <w:tc>
          <w:tcPr>
            <w:tcW w:w="850"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2016</w:t>
            </w:r>
          </w:p>
        </w:tc>
        <w:tc>
          <w:tcPr>
            <w:tcW w:w="851"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2017</w:t>
            </w:r>
          </w:p>
        </w:tc>
        <w:tc>
          <w:tcPr>
            <w:tcW w:w="992"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2018</w:t>
            </w:r>
          </w:p>
        </w:tc>
        <w:tc>
          <w:tcPr>
            <w:tcW w:w="850" w:type="dxa"/>
            <w:tcBorders>
              <w:bottom w:val="single" w:sz="4"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lang w:val="en-US"/>
              </w:rPr>
            </w:pPr>
            <w:r w:rsidRPr="004C41FE">
              <w:rPr>
                <w:rFonts w:ascii="Times New Roman" w:hAnsi="Times New Roman" w:cs="Times New Roman"/>
              </w:rPr>
              <w:t>201</w:t>
            </w:r>
            <w:r w:rsidRPr="004C41FE">
              <w:rPr>
                <w:rFonts w:ascii="Times New Roman" w:hAnsi="Times New Roman" w:cs="Times New Roman"/>
                <w:lang w:val="en-US"/>
              </w:rPr>
              <w:t>9</w:t>
            </w:r>
          </w:p>
        </w:tc>
      </w:tr>
      <w:tr w:rsidR="004C41FE" w:rsidRPr="004C41FE" w:rsidTr="00D07965">
        <w:tc>
          <w:tcPr>
            <w:tcW w:w="1560" w:type="dxa"/>
            <w:shd w:val="clear" w:color="auto" w:fill="D6E3BC"/>
          </w:tcPr>
          <w:p w:rsidR="004C41FE" w:rsidRPr="004C41FE" w:rsidRDefault="004C41FE" w:rsidP="004C41FE">
            <w:pPr>
              <w:spacing w:after="0" w:line="240" w:lineRule="auto"/>
              <w:jc w:val="both"/>
              <w:rPr>
                <w:rFonts w:ascii="Times New Roman" w:hAnsi="Times New Roman" w:cs="Times New Roman"/>
              </w:rPr>
            </w:pPr>
            <w:r w:rsidRPr="004C41FE">
              <w:rPr>
                <w:rFonts w:ascii="Times New Roman" w:hAnsi="Times New Roman" w:cs="Times New Roman"/>
              </w:rPr>
              <w:t>Пластовский район</w:t>
            </w:r>
          </w:p>
        </w:tc>
        <w:tc>
          <w:tcPr>
            <w:tcW w:w="851"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26209</w:t>
            </w:r>
          </w:p>
        </w:tc>
        <w:tc>
          <w:tcPr>
            <w:tcW w:w="851"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25935</w:t>
            </w:r>
          </w:p>
        </w:tc>
        <w:tc>
          <w:tcPr>
            <w:tcW w:w="850"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25783</w:t>
            </w:r>
          </w:p>
        </w:tc>
        <w:tc>
          <w:tcPr>
            <w:tcW w:w="851"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25644</w:t>
            </w:r>
          </w:p>
        </w:tc>
        <w:tc>
          <w:tcPr>
            <w:tcW w:w="850"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25626</w:t>
            </w:r>
          </w:p>
        </w:tc>
        <w:tc>
          <w:tcPr>
            <w:tcW w:w="851"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25853</w:t>
            </w:r>
          </w:p>
        </w:tc>
        <w:tc>
          <w:tcPr>
            <w:tcW w:w="850"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25816</w:t>
            </w:r>
          </w:p>
        </w:tc>
        <w:tc>
          <w:tcPr>
            <w:tcW w:w="851"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25830</w:t>
            </w:r>
          </w:p>
        </w:tc>
        <w:tc>
          <w:tcPr>
            <w:tcW w:w="992"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25509</w:t>
            </w:r>
          </w:p>
        </w:tc>
        <w:tc>
          <w:tcPr>
            <w:tcW w:w="850" w:type="dxa"/>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25314</w:t>
            </w:r>
          </w:p>
        </w:tc>
      </w:tr>
      <w:tr w:rsidR="004C41FE" w:rsidRPr="004C41FE" w:rsidTr="00D07965">
        <w:tc>
          <w:tcPr>
            <w:tcW w:w="1560" w:type="dxa"/>
            <w:tcBorders>
              <w:top w:val="single" w:sz="4" w:space="0" w:color="auto"/>
              <w:left w:val="single" w:sz="4" w:space="0" w:color="auto"/>
              <w:bottom w:val="single" w:sz="4" w:space="0" w:color="auto"/>
              <w:right w:val="single" w:sz="4" w:space="0" w:color="auto"/>
            </w:tcBorders>
            <w:shd w:val="clear" w:color="auto" w:fill="D6E3BC"/>
          </w:tcPr>
          <w:p w:rsidR="004C41FE" w:rsidRPr="004C41FE" w:rsidRDefault="004C41FE" w:rsidP="004C41FE">
            <w:pPr>
              <w:spacing w:after="0" w:line="240" w:lineRule="auto"/>
              <w:jc w:val="both"/>
              <w:rPr>
                <w:rFonts w:ascii="Times New Roman" w:hAnsi="Times New Roman" w:cs="Times New Roman"/>
              </w:rPr>
            </w:pPr>
            <w:r w:rsidRPr="004C41FE">
              <w:rPr>
                <w:rFonts w:ascii="Times New Roman" w:hAnsi="Times New Roman" w:cs="Times New Roman"/>
              </w:rPr>
              <w:t>Городское население</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17505</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17303</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17248</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17209</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17260</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17531</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17483</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17648</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17508</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17446</w:t>
            </w:r>
          </w:p>
        </w:tc>
      </w:tr>
      <w:tr w:rsidR="004C41FE" w:rsidRPr="004C41FE" w:rsidTr="00D07965">
        <w:tc>
          <w:tcPr>
            <w:tcW w:w="1560" w:type="dxa"/>
            <w:tcBorders>
              <w:top w:val="single" w:sz="4" w:space="0" w:color="auto"/>
              <w:left w:val="single" w:sz="4" w:space="0" w:color="auto"/>
              <w:bottom w:val="single" w:sz="4" w:space="0" w:color="auto"/>
              <w:right w:val="single" w:sz="4" w:space="0" w:color="auto"/>
            </w:tcBorders>
            <w:shd w:val="clear" w:color="auto" w:fill="D6E3BC"/>
          </w:tcPr>
          <w:p w:rsidR="004C41FE" w:rsidRPr="004C41FE" w:rsidRDefault="004C41FE" w:rsidP="004C41FE">
            <w:pPr>
              <w:spacing w:after="0" w:line="240" w:lineRule="auto"/>
              <w:jc w:val="both"/>
              <w:rPr>
                <w:rFonts w:ascii="Times New Roman" w:hAnsi="Times New Roman" w:cs="Times New Roman"/>
              </w:rPr>
            </w:pPr>
            <w:r w:rsidRPr="004C41FE">
              <w:rPr>
                <w:rFonts w:ascii="Times New Roman" w:hAnsi="Times New Roman" w:cs="Times New Roman"/>
              </w:rPr>
              <w:t>Сельское население</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8704</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8629</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8535</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8435</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8366</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8322</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8333</w:t>
            </w:r>
          </w:p>
        </w:tc>
        <w:tc>
          <w:tcPr>
            <w:tcW w:w="851"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8182</w:t>
            </w: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8001</w:t>
            </w:r>
          </w:p>
        </w:tc>
        <w:tc>
          <w:tcPr>
            <w:tcW w:w="850" w:type="dxa"/>
            <w:tcBorders>
              <w:top w:val="single" w:sz="4" w:space="0" w:color="auto"/>
              <w:left w:val="single" w:sz="4" w:space="0" w:color="auto"/>
              <w:bottom w:val="single" w:sz="4" w:space="0" w:color="auto"/>
              <w:right w:val="single" w:sz="4" w:space="0" w:color="auto"/>
            </w:tcBorders>
            <w:shd w:val="clear" w:color="auto" w:fill="FFFF99"/>
            <w:vAlign w:val="center"/>
          </w:tcPr>
          <w:p w:rsidR="004C41FE" w:rsidRPr="004C41FE" w:rsidRDefault="004C41FE" w:rsidP="004C41FE">
            <w:pPr>
              <w:spacing w:after="0" w:line="240" w:lineRule="auto"/>
              <w:jc w:val="center"/>
              <w:rPr>
                <w:rFonts w:ascii="Times New Roman" w:hAnsi="Times New Roman" w:cs="Times New Roman"/>
                <w:lang w:val="en-US"/>
              </w:rPr>
            </w:pPr>
            <w:r w:rsidRPr="004C41FE">
              <w:rPr>
                <w:rFonts w:ascii="Times New Roman" w:hAnsi="Times New Roman" w:cs="Times New Roman"/>
                <w:lang w:val="en-US"/>
              </w:rPr>
              <w:t>7868</w:t>
            </w:r>
          </w:p>
        </w:tc>
      </w:tr>
    </w:tbl>
    <w:p w:rsidR="004C41FE" w:rsidRPr="004C41FE" w:rsidRDefault="004C41FE" w:rsidP="004C41FE">
      <w:pPr>
        <w:spacing w:after="0" w:line="240" w:lineRule="auto"/>
        <w:jc w:val="center"/>
        <w:rPr>
          <w:rFonts w:ascii="Times New Roman" w:hAnsi="Times New Roman" w:cs="Times New Roman"/>
          <w:sz w:val="26"/>
          <w:szCs w:val="26"/>
        </w:rPr>
      </w:pP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Таблица 2</w:t>
      </w: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sz w:val="28"/>
          <w:szCs w:val="28"/>
        </w:rPr>
        <w:t>Родившиеся, умершие и естественный прирост населения</w:t>
      </w:r>
    </w:p>
    <w:p w:rsidR="004C41FE" w:rsidRPr="004C41FE" w:rsidRDefault="004C41FE" w:rsidP="004C41FE">
      <w:pPr>
        <w:spacing w:after="0" w:line="240" w:lineRule="auto"/>
        <w:jc w:val="center"/>
        <w:rPr>
          <w:rFonts w:ascii="Times New Roman" w:hAnsi="Times New Roman" w:cs="Times New Roman"/>
          <w:sz w:val="26"/>
          <w:szCs w:val="26"/>
        </w:rPr>
      </w:pPr>
    </w:p>
    <w:tbl>
      <w:tblPr>
        <w:tblW w:w="9715" w:type="dxa"/>
        <w:jc w:val="center"/>
        <w:tblInd w:w="-176" w:type="dxa"/>
        <w:tblLayout w:type="fixed"/>
        <w:tblCellMar>
          <w:left w:w="0" w:type="dxa"/>
          <w:right w:w="0" w:type="dxa"/>
        </w:tblCellMar>
        <w:tblLook w:val="0000"/>
      </w:tblPr>
      <w:tblGrid>
        <w:gridCol w:w="904"/>
        <w:gridCol w:w="1407"/>
        <w:gridCol w:w="1260"/>
        <w:gridCol w:w="1583"/>
        <w:gridCol w:w="1451"/>
        <w:gridCol w:w="1334"/>
        <w:gridCol w:w="1776"/>
      </w:tblGrid>
      <w:tr w:rsidR="004C41FE" w:rsidRPr="004C41FE" w:rsidTr="00D07965">
        <w:trPr>
          <w:cantSplit/>
          <w:jc w:val="center"/>
        </w:trPr>
        <w:tc>
          <w:tcPr>
            <w:tcW w:w="904" w:type="dxa"/>
            <w:vMerge w:val="restart"/>
            <w:tcBorders>
              <w:top w:val="single" w:sz="6" w:space="0" w:color="auto"/>
              <w:left w:val="single" w:sz="6" w:space="0" w:color="auto"/>
              <w:right w:val="single" w:sz="6" w:space="0" w:color="auto"/>
            </w:tcBorders>
            <w:shd w:val="clear" w:color="auto" w:fill="CCFFCC"/>
            <w:vAlign w:val="center"/>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Годы</w:t>
            </w:r>
          </w:p>
        </w:tc>
        <w:tc>
          <w:tcPr>
            <w:tcW w:w="4250" w:type="dxa"/>
            <w:gridSpan w:val="3"/>
            <w:tcBorders>
              <w:top w:val="single" w:sz="6" w:space="0" w:color="auto"/>
              <w:left w:val="nil"/>
              <w:bottom w:val="nil"/>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Всего,</w:t>
            </w:r>
          </w:p>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человек</w:t>
            </w:r>
          </w:p>
        </w:tc>
        <w:tc>
          <w:tcPr>
            <w:tcW w:w="4561" w:type="dxa"/>
            <w:gridSpan w:val="3"/>
            <w:tcBorders>
              <w:top w:val="single" w:sz="6" w:space="0" w:color="auto"/>
              <w:left w:val="nil"/>
              <w:bottom w:val="nil"/>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Коэффициенты,</w:t>
            </w:r>
          </w:p>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на 1000 человек населения</w:t>
            </w:r>
          </w:p>
        </w:tc>
      </w:tr>
      <w:tr w:rsidR="004C41FE" w:rsidRPr="004C41FE" w:rsidTr="00D07965">
        <w:trPr>
          <w:cantSplit/>
          <w:jc w:val="center"/>
        </w:trPr>
        <w:tc>
          <w:tcPr>
            <w:tcW w:w="904" w:type="dxa"/>
            <w:vMerge/>
            <w:tcBorders>
              <w:left w:val="single" w:sz="6" w:space="0" w:color="auto"/>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p>
        </w:tc>
        <w:tc>
          <w:tcPr>
            <w:tcW w:w="1407"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родившихся</w:t>
            </w:r>
          </w:p>
        </w:tc>
        <w:tc>
          <w:tcPr>
            <w:tcW w:w="1260"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proofErr w:type="gramStart"/>
            <w:r w:rsidRPr="004C41FE">
              <w:rPr>
                <w:rFonts w:ascii="Times New Roman" w:hAnsi="Times New Roman" w:cs="Times New Roman"/>
              </w:rPr>
              <w:t>умерших</w:t>
            </w:r>
            <w:proofErr w:type="gramEnd"/>
          </w:p>
        </w:tc>
        <w:tc>
          <w:tcPr>
            <w:tcW w:w="1583"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естественный прирост</w:t>
            </w:r>
            <w:proofErr w:type="gramStart"/>
            <w:r w:rsidRPr="004C41FE">
              <w:rPr>
                <w:rFonts w:ascii="Times New Roman" w:hAnsi="Times New Roman" w:cs="Times New Roman"/>
                <w:vertAlign w:val="superscript"/>
              </w:rPr>
              <w:t>1</w:t>
            </w:r>
            <w:proofErr w:type="gramEnd"/>
            <w:r w:rsidRPr="004C41FE">
              <w:rPr>
                <w:rFonts w:ascii="Times New Roman" w:hAnsi="Times New Roman" w:cs="Times New Roman"/>
                <w:vertAlign w:val="superscript"/>
              </w:rPr>
              <w:t>)</w:t>
            </w:r>
          </w:p>
        </w:tc>
        <w:tc>
          <w:tcPr>
            <w:tcW w:w="1451"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рождаемости</w:t>
            </w:r>
          </w:p>
        </w:tc>
        <w:tc>
          <w:tcPr>
            <w:tcW w:w="1334"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смертности</w:t>
            </w:r>
          </w:p>
        </w:tc>
        <w:tc>
          <w:tcPr>
            <w:tcW w:w="1776"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естественный прирост</w:t>
            </w:r>
            <w:proofErr w:type="gramStart"/>
            <w:r w:rsidRPr="004C41FE">
              <w:rPr>
                <w:rFonts w:ascii="Times New Roman" w:hAnsi="Times New Roman" w:cs="Times New Roman"/>
                <w:vertAlign w:val="superscript"/>
              </w:rPr>
              <w:t>1</w:t>
            </w:r>
            <w:proofErr w:type="gramEnd"/>
            <w:r w:rsidRPr="004C41FE">
              <w:rPr>
                <w:rFonts w:ascii="Times New Roman" w:hAnsi="Times New Roman" w:cs="Times New Roman"/>
                <w:vertAlign w:val="superscript"/>
              </w:rPr>
              <w:t>)</w:t>
            </w:r>
          </w:p>
        </w:tc>
      </w:tr>
      <w:tr w:rsidR="004C41FE" w:rsidRPr="004C41FE" w:rsidTr="00D07965">
        <w:trPr>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2009</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418</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463</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-45</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15,9</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17,7</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-1,8</w:t>
            </w:r>
          </w:p>
        </w:tc>
      </w:tr>
      <w:tr w:rsidR="004C41FE" w:rsidRPr="004C41FE" w:rsidTr="00D07965">
        <w:trPr>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2010</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387</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483</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-96</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14,8</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18,5</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-3,7</w:t>
            </w:r>
          </w:p>
        </w:tc>
      </w:tr>
      <w:tr w:rsidR="004C41FE" w:rsidRPr="004C41FE" w:rsidTr="00D07965">
        <w:trPr>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2011</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406</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480</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-74</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15,7</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18,6</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-2,9</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2012</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432</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467</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-35</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16,8</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18,2</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-1,4</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2013</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398</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15,6</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15,5</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0,1</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2014</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424</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398</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26</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16,5</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15,5</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1,0</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2015</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368</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447</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-79</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14,2</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17,3</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-3,1</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2016</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350</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402</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-52</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13,6</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15,6</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-2,0</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2017</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346</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411</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-65</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13,5</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16,0</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-2,5</w:t>
            </w:r>
          </w:p>
        </w:tc>
      </w:tr>
      <w:tr w:rsidR="004C41FE" w:rsidRPr="004C41FE" w:rsidTr="00D07965">
        <w:trPr>
          <w:trHeight w:val="309"/>
          <w:jc w:val="center"/>
        </w:trPr>
        <w:tc>
          <w:tcPr>
            <w:tcW w:w="904"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2018</w:t>
            </w:r>
          </w:p>
        </w:tc>
        <w:tc>
          <w:tcPr>
            <w:tcW w:w="1407"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320</w:t>
            </w:r>
          </w:p>
        </w:tc>
        <w:tc>
          <w:tcPr>
            <w:tcW w:w="126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369</w:t>
            </w:r>
          </w:p>
        </w:tc>
        <w:tc>
          <w:tcPr>
            <w:tcW w:w="1583"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-49</w:t>
            </w:r>
          </w:p>
        </w:tc>
        <w:tc>
          <w:tcPr>
            <w:tcW w:w="145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12,6</w:t>
            </w:r>
          </w:p>
        </w:tc>
        <w:tc>
          <w:tcPr>
            <w:tcW w:w="1334"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14,6</w:t>
            </w:r>
          </w:p>
        </w:tc>
        <w:tc>
          <w:tcPr>
            <w:tcW w:w="1776"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rPr>
            </w:pPr>
            <w:r w:rsidRPr="004C41FE">
              <w:rPr>
                <w:rFonts w:ascii="Times New Roman" w:hAnsi="Times New Roman" w:cs="Times New Roman"/>
                <w:color w:val="000000"/>
              </w:rPr>
              <w:t>-2,0</w:t>
            </w:r>
          </w:p>
        </w:tc>
      </w:tr>
    </w:tbl>
    <w:p w:rsidR="004C41FE" w:rsidRPr="004C41FE" w:rsidRDefault="004C41FE" w:rsidP="004C41FE">
      <w:pPr>
        <w:pStyle w:val="1N3000000"/>
        <w:numPr>
          <w:ilvl w:val="0"/>
          <w:numId w:val="2"/>
        </w:numPr>
        <w:spacing w:line="240" w:lineRule="auto"/>
        <w:ind w:left="0"/>
        <w:jc w:val="left"/>
        <w:rPr>
          <w:rFonts w:ascii="Times New Roman" w:hAnsi="Times New Roman"/>
          <w:sz w:val="16"/>
          <w:szCs w:val="16"/>
        </w:rPr>
      </w:pPr>
      <w:r w:rsidRPr="004C41FE">
        <w:rPr>
          <w:rFonts w:ascii="Times New Roman" w:hAnsi="Times New Roman"/>
          <w:sz w:val="16"/>
          <w:szCs w:val="16"/>
        </w:rPr>
        <w:t>Знак</w:t>
      </w:r>
      <w:proofErr w:type="gramStart"/>
      <w:r w:rsidRPr="004C41FE">
        <w:rPr>
          <w:rFonts w:ascii="Times New Roman" w:hAnsi="Times New Roman"/>
          <w:sz w:val="16"/>
          <w:szCs w:val="16"/>
        </w:rPr>
        <w:t xml:space="preserve"> (-) </w:t>
      </w:r>
      <w:proofErr w:type="gramEnd"/>
      <w:r w:rsidRPr="004C41FE">
        <w:rPr>
          <w:rFonts w:ascii="Times New Roman" w:hAnsi="Times New Roman"/>
          <w:sz w:val="16"/>
          <w:szCs w:val="16"/>
        </w:rPr>
        <w:t>означает естественную убыль населения.</w:t>
      </w:r>
    </w:p>
    <w:p w:rsidR="004C41FE" w:rsidRPr="004C41FE" w:rsidRDefault="004C41FE" w:rsidP="004C41FE">
      <w:pPr>
        <w:pStyle w:val="1N3000000"/>
        <w:spacing w:line="240" w:lineRule="auto"/>
        <w:jc w:val="left"/>
        <w:rPr>
          <w:rFonts w:ascii="Times New Roman" w:hAnsi="Times New Roman"/>
          <w:sz w:val="24"/>
          <w:szCs w:val="24"/>
        </w:rPr>
      </w:pPr>
    </w:p>
    <w:p w:rsidR="004C41FE" w:rsidRPr="004C41FE" w:rsidRDefault="004C41FE" w:rsidP="004C41FE">
      <w:pPr>
        <w:pStyle w:val="1N3000000"/>
        <w:spacing w:line="240" w:lineRule="auto"/>
        <w:jc w:val="right"/>
        <w:rPr>
          <w:rFonts w:ascii="Times New Roman" w:hAnsi="Times New Roman"/>
          <w:sz w:val="22"/>
          <w:szCs w:val="22"/>
        </w:rPr>
      </w:pPr>
      <w:r w:rsidRPr="004C41FE">
        <w:rPr>
          <w:rFonts w:ascii="Times New Roman" w:hAnsi="Times New Roman"/>
          <w:sz w:val="22"/>
          <w:szCs w:val="22"/>
        </w:rPr>
        <w:t>Диаграмма 3</w:t>
      </w:r>
    </w:p>
    <w:p w:rsidR="004C41FE" w:rsidRPr="004C41FE" w:rsidRDefault="004C41FE" w:rsidP="004C41FE">
      <w:pPr>
        <w:pStyle w:val="1N3000000"/>
        <w:spacing w:line="240" w:lineRule="auto"/>
        <w:ind w:hanging="578"/>
        <w:jc w:val="left"/>
        <w:rPr>
          <w:rFonts w:ascii="Times New Roman" w:hAnsi="Times New Roman"/>
          <w:sz w:val="16"/>
          <w:szCs w:val="16"/>
        </w:rPr>
      </w:pPr>
      <w:r w:rsidRPr="004C41FE">
        <w:rPr>
          <w:rFonts w:ascii="Times New Roman" w:hAnsi="Times New Roman"/>
          <w:noProof/>
          <w:sz w:val="26"/>
          <w:szCs w:val="26"/>
        </w:rPr>
        <w:lastRenderedPageBreak/>
        <w:drawing>
          <wp:inline distT="0" distB="0" distL="0" distR="0">
            <wp:extent cx="6050915" cy="3800475"/>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41FE" w:rsidRPr="004C41FE" w:rsidRDefault="004C41FE" w:rsidP="004C41FE">
      <w:pPr>
        <w:pStyle w:val="1N3000000"/>
        <w:spacing w:line="240" w:lineRule="auto"/>
        <w:jc w:val="left"/>
        <w:rPr>
          <w:rFonts w:ascii="Times New Roman" w:hAnsi="Times New Roman"/>
          <w:sz w:val="16"/>
          <w:szCs w:val="16"/>
        </w:rPr>
      </w:pPr>
    </w:p>
    <w:p w:rsidR="004C41FE" w:rsidRPr="004C41FE" w:rsidRDefault="004C41FE" w:rsidP="004C41FE">
      <w:pPr>
        <w:pStyle w:val="4"/>
        <w:spacing w:before="0" w:after="0"/>
        <w:jc w:val="right"/>
        <w:rPr>
          <w:rFonts w:ascii="Times New Roman" w:hAnsi="Times New Roman"/>
          <w:b w:val="0"/>
          <w:bCs w:val="0"/>
          <w:sz w:val="22"/>
          <w:szCs w:val="22"/>
        </w:rPr>
      </w:pPr>
      <w:r w:rsidRPr="004C41FE">
        <w:rPr>
          <w:rFonts w:ascii="Times New Roman" w:hAnsi="Times New Roman"/>
          <w:b w:val="0"/>
          <w:bCs w:val="0"/>
          <w:sz w:val="22"/>
          <w:szCs w:val="22"/>
        </w:rPr>
        <w:t>Таблица 3</w:t>
      </w:r>
    </w:p>
    <w:p w:rsidR="004C41FE" w:rsidRPr="004C41FE" w:rsidRDefault="004C41FE" w:rsidP="004C41FE">
      <w:pPr>
        <w:pStyle w:val="4"/>
        <w:spacing w:before="0" w:after="0"/>
        <w:jc w:val="center"/>
        <w:rPr>
          <w:rFonts w:ascii="Times New Roman" w:hAnsi="Times New Roman"/>
          <w:b w:val="0"/>
          <w:bCs w:val="0"/>
        </w:rPr>
      </w:pPr>
      <w:r w:rsidRPr="004C41FE">
        <w:rPr>
          <w:rFonts w:ascii="Times New Roman" w:hAnsi="Times New Roman"/>
          <w:b w:val="0"/>
          <w:bCs w:val="0"/>
        </w:rPr>
        <w:t>Миграция населения по Пластовскому муниципальному району</w:t>
      </w:r>
    </w:p>
    <w:p w:rsidR="004C41FE" w:rsidRPr="004C41FE" w:rsidRDefault="004C41FE" w:rsidP="004C41FE">
      <w:pPr>
        <w:spacing w:after="0" w:line="240" w:lineRule="auto"/>
        <w:rPr>
          <w:rFonts w:ascii="Times New Roman" w:hAnsi="Times New Roman" w:cs="Times New Roman"/>
        </w:rPr>
      </w:pPr>
    </w:p>
    <w:tbl>
      <w:tblPr>
        <w:tblW w:w="9565" w:type="dxa"/>
        <w:jc w:val="center"/>
        <w:tblLayout w:type="fixed"/>
        <w:tblCellMar>
          <w:left w:w="0" w:type="dxa"/>
          <w:right w:w="0" w:type="dxa"/>
        </w:tblCellMar>
        <w:tblLook w:val="0000"/>
      </w:tblPr>
      <w:tblGrid>
        <w:gridCol w:w="2423"/>
        <w:gridCol w:w="2380"/>
        <w:gridCol w:w="2381"/>
        <w:gridCol w:w="2381"/>
      </w:tblGrid>
      <w:tr w:rsidR="004C41FE" w:rsidRPr="004C41FE" w:rsidTr="00D07965">
        <w:trPr>
          <w:cantSplit/>
          <w:jc w:val="center"/>
        </w:trPr>
        <w:tc>
          <w:tcPr>
            <w:tcW w:w="2423" w:type="dxa"/>
            <w:vMerge w:val="restart"/>
            <w:tcBorders>
              <w:top w:val="single" w:sz="6" w:space="0" w:color="auto"/>
              <w:left w:val="single" w:sz="6" w:space="0" w:color="auto"/>
              <w:right w:val="single" w:sz="6" w:space="0" w:color="auto"/>
            </w:tcBorders>
            <w:shd w:val="clear" w:color="auto" w:fill="CCFFCC"/>
            <w:vAlign w:val="center"/>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Годы</w:t>
            </w:r>
          </w:p>
        </w:tc>
        <w:tc>
          <w:tcPr>
            <w:tcW w:w="7142" w:type="dxa"/>
            <w:gridSpan w:val="3"/>
            <w:tcBorders>
              <w:top w:val="single" w:sz="6" w:space="0" w:color="auto"/>
              <w:left w:val="nil"/>
              <w:bottom w:val="nil"/>
              <w:right w:val="single" w:sz="6" w:space="0" w:color="auto"/>
            </w:tcBorders>
            <w:shd w:val="clear" w:color="auto" w:fill="CCFFCC"/>
          </w:tcPr>
          <w:p w:rsidR="004C41FE" w:rsidRPr="004C41FE" w:rsidRDefault="004C41FE" w:rsidP="004C41FE">
            <w:pPr>
              <w:pStyle w:val="ltable"/>
              <w:spacing w:line="240" w:lineRule="auto"/>
              <w:rPr>
                <w:rFonts w:ascii="Times New Roman" w:hAnsi="Times New Roman"/>
                <w:sz w:val="26"/>
                <w:szCs w:val="26"/>
                <w:lang w:eastAsia="ar-SA"/>
              </w:rPr>
            </w:pPr>
            <w:r w:rsidRPr="004C41FE">
              <w:rPr>
                <w:rFonts w:ascii="Times New Roman" w:hAnsi="Times New Roman"/>
                <w:sz w:val="26"/>
                <w:szCs w:val="26"/>
                <w:lang w:eastAsia="ar-SA"/>
              </w:rPr>
              <w:t>Всего, человек</w:t>
            </w:r>
          </w:p>
        </w:tc>
      </w:tr>
      <w:tr w:rsidR="004C41FE" w:rsidRPr="004C41FE" w:rsidTr="00D07965">
        <w:trPr>
          <w:cantSplit/>
          <w:jc w:val="center"/>
        </w:trPr>
        <w:tc>
          <w:tcPr>
            <w:tcW w:w="2423" w:type="dxa"/>
            <w:vMerge/>
            <w:tcBorders>
              <w:left w:val="single" w:sz="6" w:space="0" w:color="auto"/>
              <w:bottom w:val="single" w:sz="4" w:space="0" w:color="auto"/>
              <w:right w:val="single" w:sz="6" w:space="0" w:color="auto"/>
            </w:tcBorders>
            <w:shd w:val="clear" w:color="auto" w:fill="CCFFCC"/>
          </w:tcPr>
          <w:p w:rsidR="004C41FE" w:rsidRPr="004C41FE" w:rsidRDefault="004C41FE" w:rsidP="004C41FE">
            <w:pPr>
              <w:pStyle w:val="ltable"/>
              <w:spacing w:line="240" w:lineRule="auto"/>
              <w:rPr>
                <w:rFonts w:ascii="Times New Roman" w:hAnsi="Times New Roman"/>
                <w:sz w:val="26"/>
                <w:szCs w:val="26"/>
                <w:lang w:eastAsia="ar-SA"/>
              </w:rPr>
            </w:pPr>
          </w:p>
        </w:tc>
        <w:tc>
          <w:tcPr>
            <w:tcW w:w="2380"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Прибывших</w:t>
            </w:r>
          </w:p>
        </w:tc>
        <w:tc>
          <w:tcPr>
            <w:tcW w:w="2381"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Выбывших</w:t>
            </w:r>
          </w:p>
        </w:tc>
        <w:tc>
          <w:tcPr>
            <w:tcW w:w="2381" w:type="dxa"/>
            <w:tcBorders>
              <w:top w:val="single" w:sz="6" w:space="0" w:color="auto"/>
              <w:left w:val="nil"/>
              <w:bottom w:val="single" w:sz="4" w:space="0" w:color="auto"/>
              <w:right w:val="single" w:sz="6"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Миграционный прирост</w:t>
            </w:r>
            <w:proofErr w:type="gramStart"/>
            <w:r w:rsidRPr="004C41FE">
              <w:rPr>
                <w:rFonts w:ascii="Times New Roman" w:hAnsi="Times New Roman"/>
                <w:sz w:val="26"/>
                <w:szCs w:val="26"/>
                <w:lang w:eastAsia="ar-SA"/>
              </w:rPr>
              <w:t xml:space="preserve"> (-</w:t>
            </w:r>
            <w:proofErr w:type="gramEnd"/>
            <w:r w:rsidRPr="004C41FE">
              <w:rPr>
                <w:rFonts w:ascii="Times New Roman" w:hAnsi="Times New Roman"/>
                <w:sz w:val="26"/>
                <w:szCs w:val="26"/>
                <w:lang w:eastAsia="ar-SA"/>
              </w:rPr>
              <w:t>убыль)</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2009</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481</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430</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51</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2010</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420</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509</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-89</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2011</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806</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881</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-75</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2012</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795</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899</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-104</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2013</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920</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940</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-20</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2014</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1153</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952</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201</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2015</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1014</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972</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42</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2016</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1224</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1158</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66</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2017</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953</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1209</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-256</w:t>
            </w:r>
          </w:p>
        </w:tc>
      </w:tr>
      <w:tr w:rsidR="004C41FE" w:rsidRPr="004C41FE" w:rsidTr="00D07965">
        <w:trPr>
          <w:jc w:val="center"/>
        </w:trPr>
        <w:tc>
          <w:tcPr>
            <w:tcW w:w="2423" w:type="dxa"/>
            <w:tcBorders>
              <w:top w:val="single" w:sz="4" w:space="0" w:color="auto"/>
              <w:left w:val="single" w:sz="4" w:space="0" w:color="auto"/>
              <w:bottom w:val="single" w:sz="4" w:space="0" w:color="auto"/>
              <w:right w:val="single" w:sz="4" w:space="0" w:color="auto"/>
            </w:tcBorders>
            <w:shd w:val="clear" w:color="auto" w:fill="CCFFCC"/>
          </w:tcPr>
          <w:p w:rsidR="004C41FE" w:rsidRPr="004C41FE" w:rsidRDefault="004C41FE" w:rsidP="004C41FE">
            <w:pPr>
              <w:pStyle w:val="ltable0"/>
              <w:spacing w:line="240" w:lineRule="auto"/>
              <w:ind w:left="0"/>
              <w:jc w:val="center"/>
              <w:rPr>
                <w:rFonts w:ascii="Times New Roman" w:hAnsi="Times New Roman"/>
                <w:sz w:val="26"/>
                <w:szCs w:val="26"/>
                <w:lang w:eastAsia="ar-SA"/>
              </w:rPr>
            </w:pPr>
            <w:r w:rsidRPr="004C41FE">
              <w:rPr>
                <w:rFonts w:ascii="Times New Roman" w:hAnsi="Times New Roman"/>
                <w:sz w:val="26"/>
                <w:szCs w:val="26"/>
                <w:lang w:eastAsia="ar-SA"/>
              </w:rPr>
              <w:t>2018</w:t>
            </w:r>
          </w:p>
        </w:tc>
        <w:tc>
          <w:tcPr>
            <w:tcW w:w="2380"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708</w:t>
            </w:r>
          </w:p>
        </w:tc>
        <w:tc>
          <w:tcPr>
            <w:tcW w:w="2381" w:type="dxa"/>
            <w:tcBorders>
              <w:top w:val="single" w:sz="4" w:space="0" w:color="auto"/>
              <w:left w:val="single" w:sz="4" w:space="0" w:color="auto"/>
              <w:bottom w:val="single" w:sz="4" w:space="0" w:color="auto"/>
              <w:right w:val="single" w:sz="4" w:space="0" w:color="auto"/>
            </w:tcBorders>
            <w:shd w:val="clear" w:color="auto" w:fill="FFFF99"/>
          </w:tcPr>
          <w:p w:rsidR="004C41FE" w:rsidRPr="004C41FE" w:rsidRDefault="004C41FE" w:rsidP="004C41FE">
            <w:pPr>
              <w:pStyle w:val="ltable"/>
              <w:tabs>
                <w:tab w:val="left" w:pos="1188"/>
              </w:tabs>
              <w:spacing w:line="240" w:lineRule="auto"/>
              <w:rPr>
                <w:rFonts w:ascii="Times New Roman" w:hAnsi="Times New Roman"/>
                <w:sz w:val="26"/>
                <w:szCs w:val="26"/>
                <w:lang w:eastAsia="ar-SA"/>
              </w:rPr>
            </w:pPr>
            <w:r w:rsidRPr="004C41FE">
              <w:rPr>
                <w:rFonts w:ascii="Times New Roman" w:hAnsi="Times New Roman"/>
                <w:sz w:val="26"/>
                <w:szCs w:val="26"/>
                <w:lang w:eastAsia="ar-SA"/>
              </w:rPr>
              <w:t>1046</w:t>
            </w:r>
          </w:p>
        </w:tc>
        <w:tc>
          <w:tcPr>
            <w:tcW w:w="2381" w:type="dxa"/>
            <w:tcBorders>
              <w:top w:val="single" w:sz="4" w:space="0" w:color="auto"/>
              <w:left w:val="single" w:sz="4" w:space="0" w:color="auto"/>
              <w:bottom w:val="single" w:sz="4" w:space="0" w:color="auto"/>
              <w:right w:val="single" w:sz="4" w:space="0" w:color="auto"/>
            </w:tcBorders>
            <w:shd w:val="clear" w:color="auto" w:fill="FFCC99"/>
          </w:tcPr>
          <w:p w:rsidR="004C41FE" w:rsidRPr="004C41FE" w:rsidRDefault="004C41FE" w:rsidP="004C41FE">
            <w:pPr>
              <w:spacing w:after="0" w:line="240" w:lineRule="auto"/>
              <w:jc w:val="center"/>
              <w:rPr>
                <w:rFonts w:ascii="Times New Roman" w:hAnsi="Times New Roman" w:cs="Times New Roman"/>
                <w:color w:val="000000"/>
                <w:sz w:val="26"/>
                <w:szCs w:val="26"/>
              </w:rPr>
            </w:pPr>
            <w:r w:rsidRPr="004C41FE">
              <w:rPr>
                <w:rFonts w:ascii="Times New Roman" w:hAnsi="Times New Roman" w:cs="Times New Roman"/>
                <w:color w:val="000000"/>
                <w:sz w:val="26"/>
                <w:szCs w:val="26"/>
              </w:rPr>
              <w:t>-338</w:t>
            </w:r>
          </w:p>
        </w:tc>
      </w:tr>
    </w:tbl>
    <w:p w:rsidR="004C41FE" w:rsidRPr="004C41FE" w:rsidRDefault="004C41FE" w:rsidP="004C41FE">
      <w:pPr>
        <w:spacing w:after="0" w:line="240" w:lineRule="auto"/>
        <w:jc w:val="both"/>
        <w:rPr>
          <w:rFonts w:ascii="Times New Roman" w:hAnsi="Times New Roman" w:cs="Times New Roman"/>
          <w:sz w:val="16"/>
          <w:szCs w:val="16"/>
        </w:rPr>
      </w:pPr>
    </w:p>
    <w:p w:rsidR="004C41FE" w:rsidRPr="004C41FE" w:rsidRDefault="004C41FE" w:rsidP="004C41FE">
      <w:pPr>
        <w:spacing w:after="0" w:line="240" w:lineRule="auto"/>
        <w:jc w:val="both"/>
        <w:rPr>
          <w:rFonts w:ascii="Times New Roman" w:hAnsi="Times New Roman" w:cs="Times New Roman"/>
        </w:rPr>
      </w:pPr>
    </w:p>
    <w:p w:rsidR="004C41FE" w:rsidRPr="004C41FE" w:rsidRDefault="004C41FE" w:rsidP="004C41FE">
      <w:pPr>
        <w:spacing w:after="0" w:line="240" w:lineRule="auto"/>
        <w:jc w:val="both"/>
        <w:rPr>
          <w:rFonts w:ascii="Times New Roman" w:hAnsi="Times New Roman" w:cs="Times New Roman"/>
        </w:rPr>
      </w:pPr>
    </w:p>
    <w:p w:rsidR="004C41FE" w:rsidRPr="004C41FE" w:rsidRDefault="004C41FE" w:rsidP="004C41FE">
      <w:pPr>
        <w:spacing w:after="0" w:line="240" w:lineRule="auto"/>
        <w:jc w:val="both"/>
        <w:rPr>
          <w:rFonts w:ascii="Times New Roman" w:hAnsi="Times New Roman" w:cs="Times New Roman"/>
        </w:rPr>
      </w:pP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Диаграмма 4</w:t>
      </w:r>
    </w:p>
    <w:p w:rsidR="004C41FE" w:rsidRPr="004C41FE" w:rsidRDefault="004C41FE" w:rsidP="004C41FE">
      <w:pPr>
        <w:spacing w:after="0" w:line="240" w:lineRule="auto"/>
        <w:ind w:firstLine="142"/>
        <w:jc w:val="both"/>
        <w:rPr>
          <w:rFonts w:ascii="Times New Roman" w:hAnsi="Times New Roman" w:cs="Times New Roman"/>
          <w:sz w:val="28"/>
          <w:szCs w:val="28"/>
        </w:rPr>
      </w:pPr>
      <w:r w:rsidRPr="004C41FE">
        <w:rPr>
          <w:rFonts w:ascii="Times New Roman" w:hAnsi="Times New Roman" w:cs="Times New Roman"/>
          <w:noProof/>
          <w:sz w:val="26"/>
          <w:szCs w:val="26"/>
        </w:rPr>
        <w:lastRenderedPageBreak/>
        <w:drawing>
          <wp:inline distT="0" distB="0" distL="0" distR="0">
            <wp:extent cx="6066790" cy="34988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41FE" w:rsidRPr="004C41FE" w:rsidRDefault="004C41FE" w:rsidP="004C41FE">
      <w:pPr>
        <w:spacing w:after="0" w:line="240" w:lineRule="auto"/>
        <w:ind w:firstLine="720"/>
        <w:jc w:val="both"/>
        <w:rPr>
          <w:rFonts w:ascii="Times New Roman" w:hAnsi="Times New Roman" w:cs="Times New Roman"/>
          <w:sz w:val="28"/>
          <w:szCs w:val="28"/>
        </w:rPr>
      </w:pPr>
      <w:r w:rsidRPr="004C41FE">
        <w:rPr>
          <w:rFonts w:ascii="Times New Roman" w:hAnsi="Times New Roman" w:cs="Times New Roman"/>
          <w:sz w:val="28"/>
          <w:szCs w:val="28"/>
        </w:rPr>
        <w:t xml:space="preserve">На изменение численности населения значительно влияет миграция населения. В Пластовском муниципальном районе миграционные процессы характеризуются оттоком населения.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По данным Всероссийской переписи населения 2010 года национальный состав района включает: русские (85,6%), татары (6,4%), казахи (2,1%), башкиры (1,5%), украинцы (1,4%), белорусы (0,5%), немцы (0,5%), цыгане (0,4%), мордва (0,3%), армяне (0,2%) и прочие (1,1%).</w:t>
      </w: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5</w:t>
      </w:r>
    </w:p>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noProof/>
          <w:sz w:val="26"/>
          <w:szCs w:val="26"/>
        </w:rPr>
        <w:drawing>
          <wp:inline distT="0" distB="0" distL="0" distR="0">
            <wp:extent cx="6329045" cy="302958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Таблица 4</w:t>
      </w:r>
    </w:p>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Структура численности занятых в экономике, тыс. чел.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779"/>
        <w:gridCol w:w="780"/>
        <w:gridCol w:w="779"/>
        <w:gridCol w:w="780"/>
        <w:gridCol w:w="780"/>
        <w:gridCol w:w="779"/>
        <w:gridCol w:w="780"/>
        <w:gridCol w:w="780"/>
      </w:tblGrid>
      <w:tr w:rsidR="004C41FE" w:rsidRPr="004C41FE" w:rsidTr="00D07965">
        <w:trPr>
          <w:trHeight w:val="562"/>
        </w:trPr>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margin-left:-4.3pt;margin-top:1.85pt;width:176.75pt;height:25.7pt;flip:y;z-index:251660288" o:connectortype="straight"/>
              </w:pict>
            </w:r>
            <w:r w:rsidRPr="004C41FE">
              <w:rPr>
                <w:rFonts w:ascii="Times New Roman" w:hAnsi="Times New Roman" w:cs="Times New Roman"/>
              </w:rPr>
              <w:t>год</w:t>
            </w:r>
          </w:p>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                                            Сектор экономики</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2012</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2013</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2014</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2016</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2017</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2018</w:t>
            </w:r>
          </w:p>
        </w:tc>
      </w:tr>
      <w:tr w:rsidR="004C41FE" w:rsidRPr="004C41FE" w:rsidTr="00D07965">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Крупные и средние предприятия</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6,0</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6,0</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6,0</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6,0</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6,0</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5,9</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5,9</w:t>
            </w:r>
          </w:p>
        </w:tc>
      </w:tr>
      <w:tr w:rsidR="004C41FE" w:rsidRPr="004C41FE" w:rsidTr="00D07965">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lastRenderedPageBreak/>
              <w:t>Малый и средний бизнес</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1,0</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2,3</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2,2</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w:t>
            </w:r>
          </w:p>
        </w:tc>
      </w:tr>
      <w:tr w:rsidR="004C41FE" w:rsidRPr="004C41FE" w:rsidTr="00D07965">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Бюджетный сектор</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2,5</w:t>
            </w:r>
          </w:p>
        </w:tc>
      </w:tr>
    </w:tbl>
    <w:p w:rsidR="004C41FE" w:rsidRPr="004C41FE" w:rsidRDefault="004C41FE" w:rsidP="004C41FE">
      <w:pPr>
        <w:spacing w:after="0" w:line="240" w:lineRule="auto"/>
        <w:jc w:val="center"/>
        <w:rPr>
          <w:rFonts w:ascii="Times New Roman" w:hAnsi="Times New Roman" w:cs="Times New Roman"/>
          <w:color w:val="FF0000"/>
        </w:rPr>
      </w:pPr>
      <w:r w:rsidRPr="004C41FE">
        <w:rPr>
          <w:rFonts w:ascii="Times New Roman" w:hAnsi="Times New Roman" w:cs="Times New Roman"/>
        </w:rPr>
        <w:t>Численность населения трудоспособного возраста, тыс. чел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779"/>
        <w:gridCol w:w="780"/>
        <w:gridCol w:w="779"/>
        <w:gridCol w:w="780"/>
        <w:gridCol w:w="780"/>
        <w:gridCol w:w="779"/>
        <w:gridCol w:w="780"/>
        <w:gridCol w:w="780"/>
      </w:tblGrid>
      <w:tr w:rsidR="004C41FE" w:rsidRPr="004C41FE" w:rsidTr="00D07965">
        <w:trPr>
          <w:trHeight w:val="325"/>
        </w:trPr>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год</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2012</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2013</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2014</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2016</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2017</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2018</w:t>
            </w:r>
          </w:p>
        </w:tc>
      </w:tr>
      <w:tr w:rsidR="004C41FE" w:rsidRPr="004C41FE" w:rsidTr="00D07965">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Численность населения трудоспособного возраста </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14,4</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14,0</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13,6</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13,7</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13,5</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13,2</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13,2</w:t>
            </w:r>
          </w:p>
        </w:tc>
      </w:tr>
    </w:tbl>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Уровень безработицы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779"/>
        <w:gridCol w:w="780"/>
        <w:gridCol w:w="779"/>
        <w:gridCol w:w="780"/>
        <w:gridCol w:w="780"/>
        <w:gridCol w:w="779"/>
        <w:gridCol w:w="780"/>
        <w:gridCol w:w="780"/>
      </w:tblGrid>
      <w:tr w:rsidR="004C41FE" w:rsidRPr="004C41FE" w:rsidTr="00D07965">
        <w:trPr>
          <w:trHeight w:val="286"/>
        </w:trPr>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год </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2012</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2013</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2014</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2015</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2016</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2017</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2018</w:t>
            </w:r>
          </w:p>
        </w:tc>
      </w:tr>
      <w:tr w:rsidR="004C41FE" w:rsidRPr="004C41FE" w:rsidTr="00D07965">
        <w:tc>
          <w:tcPr>
            <w:tcW w:w="3652" w:type="dxa"/>
            <w:shd w:val="clear" w:color="auto" w:fill="auto"/>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Уровень безработицы, %</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1,9</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2,01</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2,19</w:t>
            </w:r>
          </w:p>
        </w:tc>
        <w:tc>
          <w:tcPr>
            <w:tcW w:w="779"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1,73</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1,86</w:t>
            </w:r>
          </w:p>
        </w:tc>
        <w:tc>
          <w:tcPr>
            <w:tcW w:w="780" w:type="dxa"/>
            <w:shd w:val="clear" w:color="auto" w:fill="auto"/>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1,4</w:t>
            </w:r>
          </w:p>
        </w:tc>
      </w:tr>
    </w:tbl>
    <w:p w:rsidR="004C41FE" w:rsidRPr="004C41FE" w:rsidRDefault="004C41FE" w:rsidP="004C41FE">
      <w:pPr>
        <w:spacing w:after="0" w:line="240" w:lineRule="auto"/>
        <w:ind w:firstLine="851"/>
        <w:jc w:val="center"/>
        <w:rPr>
          <w:rFonts w:ascii="Times New Roman" w:hAnsi="Times New Roman" w:cs="Times New Roman"/>
          <w:sz w:val="28"/>
          <w:szCs w:val="28"/>
        </w:rPr>
      </w:pPr>
    </w:p>
    <w:p w:rsidR="004C41FE" w:rsidRPr="004C41FE" w:rsidRDefault="004C41FE" w:rsidP="004C41FE">
      <w:pPr>
        <w:spacing w:after="0" w:line="240" w:lineRule="auto"/>
        <w:ind w:firstLine="851"/>
        <w:jc w:val="center"/>
        <w:rPr>
          <w:rFonts w:ascii="Times New Roman" w:hAnsi="Times New Roman" w:cs="Times New Roman"/>
          <w:sz w:val="28"/>
          <w:szCs w:val="28"/>
        </w:rPr>
      </w:pPr>
    </w:p>
    <w:p w:rsidR="004C41FE" w:rsidRPr="004C41FE" w:rsidRDefault="004C41FE" w:rsidP="004C41FE">
      <w:pPr>
        <w:spacing w:after="0" w:line="240" w:lineRule="auto"/>
        <w:ind w:firstLine="851"/>
        <w:rPr>
          <w:rFonts w:ascii="Times New Roman" w:hAnsi="Times New Roman" w:cs="Times New Roman"/>
          <w:sz w:val="28"/>
          <w:szCs w:val="28"/>
        </w:rPr>
      </w:pPr>
      <w:r w:rsidRPr="004C41FE">
        <w:rPr>
          <w:rFonts w:ascii="Times New Roman" w:hAnsi="Times New Roman" w:cs="Times New Roman"/>
          <w:sz w:val="28"/>
          <w:szCs w:val="28"/>
        </w:rPr>
        <w:t>Глава 3.ЭКОНОМИЧЕСКИЙ ПОТЕНЦИАЛ</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Структура экономики Пластовского муниципального района представлена следующими видами экономической деятельности:</w:t>
      </w:r>
    </w:p>
    <w:p w:rsidR="004C41FE" w:rsidRPr="004C41FE" w:rsidRDefault="004C41FE" w:rsidP="004C41FE">
      <w:pPr>
        <w:spacing w:after="0" w:line="240" w:lineRule="auto"/>
        <w:ind w:firstLine="851"/>
        <w:jc w:val="both"/>
        <w:rPr>
          <w:rFonts w:ascii="Times New Roman" w:hAnsi="Times New Roman" w:cs="Times New Roman"/>
          <w:sz w:val="28"/>
        </w:rPr>
      </w:pPr>
      <w:r w:rsidRPr="004C41FE">
        <w:rPr>
          <w:rFonts w:ascii="Times New Roman" w:hAnsi="Times New Roman" w:cs="Times New Roman"/>
          <w:sz w:val="28"/>
          <w:szCs w:val="28"/>
        </w:rPr>
        <w:t xml:space="preserve">Промышленное производство - </w:t>
      </w:r>
      <w:r w:rsidRPr="004C41FE">
        <w:rPr>
          <w:rFonts w:ascii="Times New Roman" w:hAnsi="Times New Roman" w:cs="Times New Roman"/>
          <w:sz w:val="28"/>
        </w:rPr>
        <w:t>Промышленность района представлена такими предприятиями, как АО «ЮГК», ООО «Пласт-Рифей», ООО «Новые технологии».</w:t>
      </w:r>
    </w:p>
    <w:p w:rsidR="004C41FE" w:rsidRPr="004C41FE" w:rsidRDefault="004C41FE" w:rsidP="004C41FE">
      <w:pPr>
        <w:spacing w:after="0" w:line="240" w:lineRule="auto"/>
        <w:ind w:firstLine="851"/>
        <w:jc w:val="both"/>
        <w:rPr>
          <w:rFonts w:ascii="Times New Roman" w:hAnsi="Times New Roman" w:cs="Times New Roman"/>
          <w:sz w:val="28"/>
        </w:rPr>
      </w:pPr>
      <w:r w:rsidRPr="004C41FE">
        <w:rPr>
          <w:rFonts w:ascii="Times New Roman" w:hAnsi="Times New Roman" w:cs="Times New Roman"/>
          <w:sz w:val="28"/>
        </w:rPr>
        <w:t>АО «Южуралзолото Группа Компаний» является градообразующим предприятием Пластовского муниципального района.</w:t>
      </w:r>
      <w:r w:rsidRPr="004C41FE">
        <w:rPr>
          <w:rFonts w:ascii="Times New Roman" w:hAnsi="Times New Roman" w:cs="Times New Roman"/>
          <w:noProof/>
        </w:rPr>
        <w:t xml:space="preserve"> </w:t>
      </w:r>
    </w:p>
    <w:p w:rsidR="004C41FE" w:rsidRPr="004C41FE" w:rsidRDefault="004C41FE" w:rsidP="004C41FE">
      <w:pPr>
        <w:spacing w:after="0" w:line="240" w:lineRule="auto"/>
        <w:ind w:firstLine="567"/>
        <w:jc w:val="both"/>
        <w:rPr>
          <w:rFonts w:ascii="Times New Roman" w:hAnsi="Times New Roman" w:cs="Times New Roman"/>
          <w:sz w:val="28"/>
          <w:szCs w:val="28"/>
        </w:rPr>
      </w:pPr>
      <w:r w:rsidRPr="004C41FE">
        <w:rPr>
          <w:rFonts w:ascii="Times New Roman" w:hAnsi="Times New Roman" w:cs="Times New Roman"/>
          <w:sz w:val="28"/>
          <w:szCs w:val="28"/>
        </w:rPr>
        <w:t>За 2018 год предприятием АО «ЮГК» выполнены следующие показатели:</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объем добычи золота по подразделениям, находящимся в Пластовском муниципального районе составил 5630 кг;</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подземные горные работы: добыча руды составила 1,5 млн.  тонн;</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открытые горные работы: добыча горной массы по ГОК «Светлинский» составила 20 млн. куб</w:t>
      </w:r>
      <w:proofErr w:type="gramStart"/>
      <w:r w:rsidRPr="004C41FE">
        <w:rPr>
          <w:rFonts w:ascii="Times New Roman" w:hAnsi="Times New Roman" w:cs="Times New Roman"/>
          <w:sz w:val="28"/>
          <w:szCs w:val="28"/>
        </w:rPr>
        <w:t>.м</w:t>
      </w:r>
      <w:proofErr w:type="gramEnd"/>
      <w:r w:rsidRPr="004C41FE">
        <w:rPr>
          <w:rFonts w:ascii="Times New Roman" w:hAnsi="Times New Roman" w:cs="Times New Roman"/>
          <w:sz w:val="28"/>
          <w:szCs w:val="28"/>
        </w:rPr>
        <w:t>;</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объем инвестиций в основной капитал за счет всех источников финансирования составил 4,8 млрд. рублей.</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 Для обеспечения </w:t>
      </w:r>
      <w:proofErr w:type="spellStart"/>
      <w:proofErr w:type="gramStart"/>
      <w:r w:rsidRPr="004C41FE">
        <w:rPr>
          <w:rFonts w:ascii="Times New Roman" w:hAnsi="Times New Roman" w:cs="Times New Roman"/>
          <w:sz w:val="28"/>
          <w:szCs w:val="28"/>
        </w:rPr>
        <w:t>горно</w:t>
      </w:r>
      <w:proofErr w:type="spellEnd"/>
      <w:r w:rsidRPr="004C41FE">
        <w:rPr>
          <w:rFonts w:ascii="Times New Roman" w:hAnsi="Times New Roman" w:cs="Times New Roman"/>
          <w:sz w:val="28"/>
          <w:szCs w:val="28"/>
        </w:rPr>
        <w:t xml:space="preserve"> – обогатительного</w:t>
      </w:r>
      <w:proofErr w:type="gramEnd"/>
      <w:r w:rsidRPr="004C41FE">
        <w:rPr>
          <w:rFonts w:ascii="Times New Roman" w:hAnsi="Times New Roman" w:cs="Times New Roman"/>
          <w:sz w:val="28"/>
          <w:szCs w:val="28"/>
        </w:rPr>
        <w:t xml:space="preserve"> комбината собственной энергией на </w:t>
      </w:r>
      <w:proofErr w:type="spellStart"/>
      <w:r w:rsidRPr="004C41FE">
        <w:rPr>
          <w:rFonts w:ascii="Times New Roman" w:hAnsi="Times New Roman" w:cs="Times New Roman"/>
          <w:sz w:val="28"/>
          <w:szCs w:val="28"/>
        </w:rPr>
        <w:t>ГОКе</w:t>
      </w:r>
      <w:proofErr w:type="spellEnd"/>
      <w:r w:rsidRPr="004C41FE">
        <w:rPr>
          <w:rFonts w:ascii="Times New Roman" w:hAnsi="Times New Roman" w:cs="Times New Roman"/>
          <w:sz w:val="28"/>
          <w:szCs w:val="28"/>
        </w:rPr>
        <w:t xml:space="preserve"> «Светлинский» в 2018 году смонтированы две </w:t>
      </w:r>
      <w:proofErr w:type="spellStart"/>
      <w:r w:rsidRPr="004C41FE">
        <w:rPr>
          <w:rFonts w:ascii="Times New Roman" w:hAnsi="Times New Roman" w:cs="Times New Roman"/>
          <w:sz w:val="28"/>
          <w:szCs w:val="28"/>
        </w:rPr>
        <w:t>газопоршневые</w:t>
      </w:r>
      <w:proofErr w:type="spellEnd"/>
      <w:r w:rsidRPr="004C41FE">
        <w:rPr>
          <w:rFonts w:ascii="Times New Roman" w:hAnsi="Times New Roman" w:cs="Times New Roman"/>
          <w:sz w:val="28"/>
          <w:szCs w:val="28"/>
        </w:rPr>
        <w:t xml:space="preserve"> электростанции мощностью 8,5 МВт.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Ведется реконструкция ЗИФ «</w:t>
      </w:r>
      <w:proofErr w:type="spellStart"/>
      <w:r w:rsidRPr="004C41FE">
        <w:rPr>
          <w:rFonts w:ascii="Times New Roman" w:hAnsi="Times New Roman" w:cs="Times New Roman"/>
          <w:sz w:val="28"/>
          <w:szCs w:val="28"/>
        </w:rPr>
        <w:t>Светлинская</w:t>
      </w:r>
      <w:proofErr w:type="spellEnd"/>
      <w:r w:rsidRPr="004C41FE">
        <w:rPr>
          <w:rFonts w:ascii="Times New Roman" w:hAnsi="Times New Roman" w:cs="Times New Roman"/>
          <w:sz w:val="28"/>
          <w:szCs w:val="28"/>
        </w:rPr>
        <w:t>» с дополнительным введением в эксплуатацию двух дополнительных блоков измельчения и цеха гидрометаллургии, что позволит увеличить производительность по переработке не менее 13 млн. тонн руды в год.</w:t>
      </w:r>
    </w:p>
    <w:p w:rsidR="004C41FE" w:rsidRPr="004C41FE" w:rsidRDefault="004C41FE" w:rsidP="004C41FE">
      <w:pPr>
        <w:pStyle w:val="ac"/>
        <w:spacing w:before="0" w:beforeAutospacing="0" w:after="0" w:afterAutospacing="0"/>
        <w:jc w:val="both"/>
        <w:textAlignment w:val="center"/>
        <w:rPr>
          <w:kern w:val="24"/>
          <w:sz w:val="28"/>
          <w:szCs w:val="28"/>
        </w:rPr>
      </w:pPr>
      <w:r w:rsidRPr="004C41FE">
        <w:rPr>
          <w:kern w:val="24"/>
          <w:sz w:val="28"/>
          <w:szCs w:val="28"/>
        </w:rPr>
        <w:tab/>
        <w:t xml:space="preserve">В 2018 году построен подземный газопровод высокого давления 1,2 </w:t>
      </w:r>
      <w:proofErr w:type="spellStart"/>
      <w:r w:rsidRPr="004C41FE">
        <w:rPr>
          <w:kern w:val="24"/>
          <w:sz w:val="28"/>
          <w:szCs w:val="28"/>
        </w:rPr>
        <w:t>Мпа</w:t>
      </w:r>
      <w:proofErr w:type="spellEnd"/>
      <w:r w:rsidRPr="004C41FE">
        <w:rPr>
          <w:kern w:val="24"/>
          <w:sz w:val="28"/>
          <w:szCs w:val="28"/>
        </w:rPr>
        <w:t xml:space="preserve"> (</w:t>
      </w:r>
      <w:proofErr w:type="spellStart"/>
      <w:r w:rsidRPr="004C41FE">
        <w:rPr>
          <w:kern w:val="24"/>
          <w:sz w:val="28"/>
          <w:szCs w:val="28"/>
        </w:rPr>
        <w:t>мегапаскаль</w:t>
      </w:r>
      <w:proofErr w:type="spellEnd"/>
      <w:r w:rsidRPr="004C41FE">
        <w:rPr>
          <w:kern w:val="24"/>
          <w:sz w:val="28"/>
          <w:szCs w:val="28"/>
        </w:rPr>
        <w:t xml:space="preserve">), протяженностью 33 км, для газоснабжения производственных объектов и </w:t>
      </w:r>
      <w:proofErr w:type="spellStart"/>
      <w:r w:rsidRPr="004C41FE">
        <w:rPr>
          <w:kern w:val="24"/>
          <w:sz w:val="28"/>
          <w:szCs w:val="28"/>
        </w:rPr>
        <w:t>энергоцентров</w:t>
      </w:r>
      <w:proofErr w:type="spellEnd"/>
      <w:r w:rsidRPr="004C41FE">
        <w:rPr>
          <w:kern w:val="24"/>
          <w:sz w:val="28"/>
          <w:szCs w:val="28"/>
        </w:rPr>
        <w:t>.</w:t>
      </w:r>
    </w:p>
    <w:p w:rsidR="004C41FE" w:rsidRPr="004C41FE" w:rsidRDefault="004C41FE" w:rsidP="004C41FE">
      <w:pPr>
        <w:pStyle w:val="ac"/>
        <w:spacing w:before="0" w:beforeAutospacing="0" w:after="0" w:afterAutospacing="0"/>
        <w:jc w:val="both"/>
        <w:textAlignment w:val="center"/>
        <w:rPr>
          <w:kern w:val="24"/>
          <w:sz w:val="28"/>
          <w:szCs w:val="28"/>
        </w:rPr>
      </w:pPr>
      <w:r w:rsidRPr="004C41FE">
        <w:rPr>
          <w:sz w:val="28"/>
          <w:szCs w:val="28"/>
        </w:rPr>
        <w:tab/>
        <w:t>В 2018 году АО «ЮГК» приступило</w:t>
      </w:r>
      <w:r w:rsidRPr="004C41FE">
        <w:rPr>
          <w:kern w:val="24"/>
          <w:sz w:val="28"/>
          <w:szCs w:val="28"/>
        </w:rPr>
        <w:t xml:space="preserve"> к реконструкции АБК шахты «Центральная», которая увеличит объем полезных площадей.</w:t>
      </w:r>
    </w:p>
    <w:p w:rsidR="004C41FE" w:rsidRPr="004C41FE" w:rsidRDefault="004C41FE" w:rsidP="004C41FE">
      <w:pPr>
        <w:pStyle w:val="ac"/>
        <w:spacing w:before="0" w:beforeAutospacing="0" w:after="0" w:afterAutospacing="0"/>
        <w:ind w:firstLine="708"/>
        <w:jc w:val="both"/>
        <w:textAlignment w:val="center"/>
        <w:rPr>
          <w:kern w:val="24"/>
          <w:sz w:val="28"/>
          <w:szCs w:val="28"/>
        </w:rPr>
      </w:pPr>
      <w:r w:rsidRPr="004C41FE">
        <w:rPr>
          <w:kern w:val="24"/>
          <w:sz w:val="28"/>
          <w:szCs w:val="28"/>
        </w:rPr>
        <w:t>В 2019 году планируется ввести в эксплуатацию Производственный цех №1 ЗИФ «Пластовская», производительность по переработке увеличится до 5 млн. тонн руды в год.</w:t>
      </w:r>
    </w:p>
    <w:p w:rsidR="004C41FE" w:rsidRPr="004C41FE" w:rsidRDefault="004C41FE" w:rsidP="004C41FE">
      <w:pPr>
        <w:pStyle w:val="ac"/>
        <w:spacing w:before="0" w:beforeAutospacing="0" w:after="0" w:afterAutospacing="0"/>
        <w:ind w:firstLine="708"/>
        <w:jc w:val="both"/>
        <w:textAlignment w:val="center"/>
        <w:rPr>
          <w:kern w:val="24"/>
          <w:sz w:val="28"/>
          <w:szCs w:val="28"/>
        </w:rPr>
      </w:pPr>
      <w:r w:rsidRPr="004C41FE">
        <w:rPr>
          <w:kern w:val="24"/>
          <w:sz w:val="28"/>
          <w:szCs w:val="28"/>
        </w:rPr>
        <w:t>С 2017 года АО «ЮГК» ведет строительство циклично-поточной технологии для доставки руды на фабрику с карьера, завершить которое предприятие рассчитывает в 2019 году.</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lastRenderedPageBreak/>
        <w:t xml:space="preserve">В планах предприятия приобретение новых объектов - </w:t>
      </w:r>
      <w:proofErr w:type="spellStart"/>
      <w:r w:rsidRPr="004C41FE">
        <w:rPr>
          <w:rFonts w:ascii="Times New Roman" w:hAnsi="Times New Roman" w:cs="Times New Roman"/>
          <w:sz w:val="28"/>
          <w:szCs w:val="28"/>
        </w:rPr>
        <w:t>Поляновская</w:t>
      </w:r>
      <w:proofErr w:type="spellEnd"/>
      <w:r w:rsidRPr="004C41FE">
        <w:rPr>
          <w:rFonts w:ascii="Times New Roman" w:hAnsi="Times New Roman" w:cs="Times New Roman"/>
          <w:sz w:val="28"/>
          <w:szCs w:val="28"/>
        </w:rPr>
        <w:t xml:space="preserve"> площадь, которая включает в себя 7 перспективных объектов, общие прогнозные ресурсы 30 тонн добычи золота.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С 2018 года у предприятия «Пласт-Рифей» новый собственник – иностранная компания </w:t>
      </w:r>
      <w:r w:rsidRPr="004C41FE">
        <w:rPr>
          <w:rFonts w:ascii="Times New Roman" w:hAnsi="Times New Roman" w:cs="Times New Roman"/>
          <w:sz w:val="28"/>
          <w:szCs w:val="28"/>
          <w:lang w:val="en-US"/>
        </w:rPr>
        <w:t>LASSELSBERGER</w:t>
      </w:r>
      <w:r w:rsidRPr="004C41FE">
        <w:rPr>
          <w:rFonts w:ascii="Times New Roman" w:hAnsi="Times New Roman" w:cs="Times New Roman"/>
          <w:sz w:val="28"/>
          <w:szCs w:val="28"/>
        </w:rPr>
        <w:t xml:space="preserve"> (Австрия), реализующая новый инвестиционный проект, который позволит увеличить объем производства в несколько раз. </w:t>
      </w:r>
    </w:p>
    <w:p w:rsidR="004C41FE" w:rsidRPr="004C41FE" w:rsidRDefault="004C41FE" w:rsidP="004C41FE">
      <w:pPr>
        <w:tabs>
          <w:tab w:val="left" w:pos="6510"/>
        </w:tabs>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На предприят</w:t>
      </w:r>
      <w:proofErr w:type="gramStart"/>
      <w:r w:rsidRPr="004C41FE">
        <w:rPr>
          <w:rFonts w:ascii="Times New Roman" w:hAnsi="Times New Roman" w:cs="Times New Roman"/>
          <w:sz w:val="28"/>
          <w:szCs w:val="28"/>
        </w:rPr>
        <w:t>ии  ООО</w:t>
      </w:r>
      <w:proofErr w:type="gramEnd"/>
      <w:r w:rsidRPr="004C41FE">
        <w:rPr>
          <w:rFonts w:ascii="Times New Roman" w:hAnsi="Times New Roman" w:cs="Times New Roman"/>
          <w:sz w:val="28"/>
          <w:szCs w:val="28"/>
        </w:rPr>
        <w:t xml:space="preserve"> «Новые технологии»  за 2018 год в цехе обжига и сушки концентратов переработано и отправлено на металлургические комбинаты полиметаллических концентратов 45,7 тыс. тонн, что на 23% больше 2017 года. Цехом по производству стекло-магнезитовых листов реализовано 702 листа.  </w:t>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АО «Южуралмост» обособленное подразделение «Пластовский участок», созданный на базе Пластовского ДРСУ, в 2018 году продолжал работать по  содержанию автомобильных дорог Челябинской области (Пластовский куст) протяженностью 283 км.</w:t>
      </w:r>
    </w:p>
    <w:p w:rsidR="004C41FE" w:rsidRPr="004C41FE" w:rsidRDefault="004C41FE" w:rsidP="004C41FE">
      <w:pPr>
        <w:tabs>
          <w:tab w:val="left" w:pos="6510"/>
        </w:tabs>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6</w:t>
      </w:r>
    </w:p>
    <w:p w:rsidR="004C41FE" w:rsidRPr="004C41FE" w:rsidRDefault="004C41FE" w:rsidP="004C41FE">
      <w:pPr>
        <w:tabs>
          <w:tab w:val="left" w:pos="6510"/>
        </w:tabs>
        <w:spacing w:after="0" w:line="240" w:lineRule="auto"/>
        <w:jc w:val="center"/>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5963285" cy="389636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41FE" w:rsidRPr="004C41FE" w:rsidRDefault="004C41FE" w:rsidP="004C41FE">
      <w:pPr>
        <w:tabs>
          <w:tab w:val="left" w:pos="6510"/>
        </w:tabs>
        <w:spacing w:after="0" w:line="240" w:lineRule="auto"/>
        <w:jc w:val="right"/>
        <w:rPr>
          <w:rFonts w:ascii="Times New Roman" w:hAnsi="Times New Roman" w:cs="Times New Roman"/>
        </w:rPr>
      </w:pPr>
      <w:r w:rsidRPr="004C41FE">
        <w:rPr>
          <w:rFonts w:ascii="Times New Roman" w:hAnsi="Times New Roman" w:cs="Times New Roman"/>
        </w:rPr>
        <w:t>Диаграмма 7</w:t>
      </w:r>
    </w:p>
    <w:p w:rsidR="004C41FE" w:rsidRPr="004C41FE" w:rsidRDefault="004C41FE" w:rsidP="004C41FE">
      <w:pPr>
        <w:tabs>
          <w:tab w:val="left" w:pos="6510"/>
        </w:tabs>
        <w:spacing w:after="0" w:line="240" w:lineRule="auto"/>
        <w:jc w:val="center"/>
        <w:rPr>
          <w:rFonts w:ascii="Times New Roman" w:hAnsi="Times New Roman" w:cs="Times New Roman"/>
          <w:sz w:val="28"/>
          <w:szCs w:val="28"/>
        </w:rPr>
      </w:pPr>
      <w:r w:rsidRPr="004C41FE">
        <w:rPr>
          <w:rFonts w:ascii="Times New Roman" w:hAnsi="Times New Roman" w:cs="Times New Roman"/>
          <w:noProof/>
          <w:sz w:val="26"/>
          <w:szCs w:val="26"/>
        </w:rPr>
        <w:lastRenderedPageBreak/>
        <w:drawing>
          <wp:inline distT="0" distB="0" distL="0" distR="0">
            <wp:extent cx="6106795" cy="341122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41FE" w:rsidRPr="004C41FE" w:rsidRDefault="004C41FE" w:rsidP="004C41FE">
      <w:pPr>
        <w:spacing w:after="0" w:line="240" w:lineRule="auto"/>
        <w:jc w:val="both"/>
        <w:rPr>
          <w:rFonts w:ascii="Times New Roman" w:hAnsi="Times New Roman" w:cs="Times New Roman"/>
          <w:sz w:val="26"/>
          <w:szCs w:val="26"/>
        </w:rPr>
      </w:pPr>
    </w:p>
    <w:p w:rsidR="004C41FE" w:rsidRPr="004C41FE" w:rsidRDefault="004C41FE" w:rsidP="004C41FE">
      <w:pPr>
        <w:spacing w:after="0" w:line="240" w:lineRule="auto"/>
        <w:jc w:val="both"/>
        <w:rPr>
          <w:rFonts w:ascii="Times New Roman" w:hAnsi="Times New Roman" w:cs="Times New Roman"/>
          <w:sz w:val="26"/>
          <w:szCs w:val="26"/>
        </w:rPr>
      </w:pPr>
    </w:p>
    <w:p w:rsidR="004C41FE" w:rsidRPr="004C41FE" w:rsidRDefault="004C41FE" w:rsidP="004C41FE">
      <w:pPr>
        <w:spacing w:after="0" w:line="240" w:lineRule="auto"/>
        <w:jc w:val="both"/>
        <w:rPr>
          <w:rFonts w:ascii="Times New Roman" w:hAnsi="Times New Roman" w:cs="Times New Roman"/>
          <w:sz w:val="26"/>
          <w:szCs w:val="26"/>
        </w:rPr>
      </w:pP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Диаграмма 8</w:t>
      </w: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noProof/>
          <w:sz w:val="26"/>
          <w:szCs w:val="26"/>
        </w:rPr>
        <w:drawing>
          <wp:inline distT="0" distB="0" distL="0" distR="0">
            <wp:extent cx="6066790" cy="359410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41FE" w:rsidRPr="004C41FE" w:rsidRDefault="004C41FE" w:rsidP="004C41FE">
      <w:pPr>
        <w:spacing w:after="0" w:line="240" w:lineRule="auto"/>
        <w:jc w:val="right"/>
        <w:rPr>
          <w:rFonts w:ascii="Times New Roman" w:hAnsi="Times New Roman" w:cs="Times New Roman"/>
        </w:rPr>
      </w:pPr>
    </w:p>
    <w:p w:rsidR="004C41FE" w:rsidRPr="004C41FE" w:rsidRDefault="004C41FE" w:rsidP="004C41FE">
      <w:pPr>
        <w:spacing w:after="0" w:line="240" w:lineRule="auto"/>
        <w:jc w:val="right"/>
        <w:rPr>
          <w:rFonts w:ascii="Times New Roman" w:hAnsi="Times New Roman" w:cs="Times New Roman"/>
        </w:rPr>
      </w:pPr>
      <w:r w:rsidRPr="004C41FE">
        <w:rPr>
          <w:rFonts w:ascii="Times New Roman" w:hAnsi="Times New Roman" w:cs="Times New Roman"/>
        </w:rPr>
        <w:t>Таблица 5</w:t>
      </w:r>
    </w:p>
    <w:p w:rsidR="004C41FE" w:rsidRPr="004C41FE" w:rsidRDefault="004C41FE" w:rsidP="004C41FE">
      <w:pPr>
        <w:spacing w:after="0" w:line="240" w:lineRule="auto"/>
        <w:jc w:val="center"/>
        <w:rPr>
          <w:rFonts w:ascii="Times New Roman" w:hAnsi="Times New Roman" w:cs="Times New Roman"/>
          <w:sz w:val="26"/>
          <w:szCs w:val="26"/>
        </w:rPr>
      </w:pPr>
      <w:r w:rsidRPr="004C41FE">
        <w:rPr>
          <w:rFonts w:ascii="Times New Roman" w:hAnsi="Times New Roman" w:cs="Times New Roman"/>
          <w:sz w:val="26"/>
          <w:szCs w:val="26"/>
        </w:rPr>
        <w:t xml:space="preserve">КРУПНЫЕ И СРЕДНИЕ ПРЕДПРИЯТИЯ </w:t>
      </w:r>
    </w:p>
    <w:p w:rsidR="004C41FE" w:rsidRPr="004C41FE" w:rsidRDefault="004C41FE" w:rsidP="004C41FE">
      <w:pPr>
        <w:spacing w:after="0" w:line="240" w:lineRule="auto"/>
        <w:jc w:val="center"/>
        <w:rPr>
          <w:rFonts w:ascii="Times New Roman" w:hAnsi="Times New Roman" w:cs="Times New Roman"/>
          <w:sz w:val="26"/>
          <w:szCs w:val="26"/>
        </w:rPr>
      </w:pPr>
      <w:r w:rsidRPr="004C41FE">
        <w:rPr>
          <w:rFonts w:ascii="Times New Roman" w:hAnsi="Times New Roman" w:cs="Times New Roman"/>
          <w:sz w:val="26"/>
          <w:szCs w:val="26"/>
        </w:rPr>
        <w:t>ПЛАСТОВСКОГО МУНИЦИПАЛЬНОГО РАЙОНА</w:t>
      </w:r>
    </w:p>
    <w:p w:rsidR="004C41FE" w:rsidRPr="004C41FE" w:rsidRDefault="004C41FE" w:rsidP="004C41FE">
      <w:pPr>
        <w:spacing w:after="0" w:line="240" w:lineRule="auto"/>
        <w:ind w:hanging="1134"/>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7650"/>
      </w:tblGrid>
      <w:tr w:rsidR="004C41FE" w:rsidRPr="004C41FE" w:rsidTr="00D07965">
        <w:tc>
          <w:tcPr>
            <w:tcW w:w="1938" w:type="dxa"/>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Наименование предприятия</w:t>
            </w:r>
          </w:p>
        </w:tc>
        <w:tc>
          <w:tcPr>
            <w:tcW w:w="8201" w:type="dxa"/>
          </w:tcPr>
          <w:p w:rsidR="004C41FE" w:rsidRPr="004C41FE" w:rsidRDefault="004C41FE" w:rsidP="004C41FE">
            <w:pPr>
              <w:spacing w:after="0" w:line="240" w:lineRule="auto"/>
              <w:jc w:val="center"/>
              <w:rPr>
                <w:rFonts w:ascii="Times New Roman" w:hAnsi="Times New Roman" w:cs="Times New Roman"/>
              </w:rPr>
            </w:pPr>
            <w:r w:rsidRPr="004C41FE">
              <w:rPr>
                <w:rFonts w:ascii="Times New Roman" w:hAnsi="Times New Roman" w:cs="Times New Roman"/>
              </w:rPr>
              <w:t>Информация о предприятии</w:t>
            </w:r>
          </w:p>
        </w:tc>
      </w:tr>
      <w:tr w:rsidR="004C41FE" w:rsidRPr="004C41FE" w:rsidTr="00D07965">
        <w:tc>
          <w:tcPr>
            <w:tcW w:w="1938" w:type="dxa"/>
          </w:tcPr>
          <w:p w:rsidR="004C41FE" w:rsidRPr="004C41FE" w:rsidRDefault="004C41FE" w:rsidP="004C41FE">
            <w:pPr>
              <w:spacing w:after="0" w:line="240" w:lineRule="auto"/>
              <w:jc w:val="both"/>
              <w:rPr>
                <w:rFonts w:ascii="Times New Roman" w:hAnsi="Times New Roman" w:cs="Times New Roman"/>
                <w:sz w:val="26"/>
                <w:szCs w:val="26"/>
              </w:rPr>
            </w:pPr>
            <w:r w:rsidRPr="004C41FE">
              <w:rPr>
                <w:rFonts w:ascii="Times New Roman" w:hAnsi="Times New Roman" w:cs="Times New Roman"/>
              </w:rPr>
              <w:t xml:space="preserve">АО </w:t>
            </w:r>
            <w:r w:rsidRPr="004C41FE">
              <w:rPr>
                <w:rFonts w:ascii="Times New Roman" w:hAnsi="Times New Roman" w:cs="Times New Roman"/>
              </w:rPr>
              <w:lastRenderedPageBreak/>
              <w:t xml:space="preserve">«Южуралзолото Группа </w:t>
            </w:r>
            <w:proofErr w:type="spellStart"/>
            <w:r w:rsidRPr="004C41FE">
              <w:rPr>
                <w:rFonts w:ascii="Times New Roman" w:hAnsi="Times New Roman" w:cs="Times New Roman"/>
              </w:rPr>
              <w:t>Компаниий</w:t>
            </w:r>
            <w:proofErr w:type="spellEnd"/>
            <w:r w:rsidRPr="004C41FE">
              <w:rPr>
                <w:rFonts w:ascii="Times New Roman" w:hAnsi="Times New Roman" w:cs="Times New Roman"/>
              </w:rPr>
              <w:t>»</w:t>
            </w:r>
          </w:p>
        </w:tc>
        <w:tc>
          <w:tcPr>
            <w:tcW w:w="8201" w:type="dxa"/>
          </w:tcPr>
          <w:p w:rsidR="004C41FE" w:rsidRPr="004C41FE" w:rsidRDefault="004C41FE" w:rsidP="004C41FE">
            <w:pPr>
              <w:spacing w:after="0" w:line="240" w:lineRule="auto"/>
              <w:ind w:firstLine="300"/>
              <w:jc w:val="both"/>
              <w:rPr>
                <w:rFonts w:ascii="Times New Roman" w:hAnsi="Times New Roman" w:cs="Times New Roman"/>
              </w:rPr>
            </w:pPr>
            <w:r w:rsidRPr="004C41FE">
              <w:rPr>
                <w:rFonts w:ascii="Times New Roman" w:hAnsi="Times New Roman" w:cs="Times New Roman"/>
              </w:rPr>
              <w:lastRenderedPageBreak/>
              <w:t xml:space="preserve">Месторождениями, определяющими минерально-сырьевой потенциал </w:t>
            </w:r>
            <w:r w:rsidRPr="004C41FE">
              <w:rPr>
                <w:rFonts w:ascii="Times New Roman" w:hAnsi="Times New Roman" w:cs="Times New Roman"/>
              </w:rPr>
              <w:lastRenderedPageBreak/>
              <w:t xml:space="preserve">области, являются Кочкарское, </w:t>
            </w:r>
            <w:proofErr w:type="spellStart"/>
            <w:r w:rsidRPr="004C41FE">
              <w:rPr>
                <w:rFonts w:ascii="Times New Roman" w:hAnsi="Times New Roman" w:cs="Times New Roman"/>
              </w:rPr>
              <w:t>Светлинское</w:t>
            </w:r>
            <w:proofErr w:type="spellEnd"/>
            <w:r w:rsidRPr="004C41FE">
              <w:rPr>
                <w:rFonts w:ascii="Times New Roman" w:hAnsi="Times New Roman" w:cs="Times New Roman"/>
              </w:rPr>
              <w:t xml:space="preserve">, </w:t>
            </w:r>
            <w:proofErr w:type="spellStart"/>
            <w:r w:rsidRPr="004C41FE">
              <w:rPr>
                <w:rFonts w:ascii="Times New Roman" w:hAnsi="Times New Roman" w:cs="Times New Roman"/>
              </w:rPr>
              <w:t>Березняковское</w:t>
            </w:r>
            <w:proofErr w:type="spellEnd"/>
            <w:r w:rsidRPr="004C41FE">
              <w:rPr>
                <w:rFonts w:ascii="Times New Roman" w:hAnsi="Times New Roman" w:cs="Times New Roman"/>
              </w:rPr>
              <w:t xml:space="preserve">, Южный и Западный </w:t>
            </w:r>
            <w:proofErr w:type="spellStart"/>
            <w:r w:rsidRPr="004C41FE">
              <w:rPr>
                <w:rFonts w:ascii="Times New Roman" w:hAnsi="Times New Roman" w:cs="Times New Roman"/>
              </w:rPr>
              <w:t>Курасан</w:t>
            </w:r>
            <w:proofErr w:type="spellEnd"/>
            <w:r w:rsidRPr="004C41FE">
              <w:rPr>
                <w:rFonts w:ascii="Times New Roman" w:hAnsi="Times New Roman" w:cs="Times New Roman"/>
              </w:rPr>
              <w:t xml:space="preserve"> – разработку всех этих месторождений осуществляет АО «ЮГК». Доля компании в общей золотодобыче области составляет 98,5 %. В Пластовском муниципальном районе находятся 2 месторождения: Кочкарское и </w:t>
            </w:r>
            <w:proofErr w:type="spellStart"/>
            <w:r w:rsidRPr="004C41FE">
              <w:rPr>
                <w:rFonts w:ascii="Times New Roman" w:hAnsi="Times New Roman" w:cs="Times New Roman"/>
              </w:rPr>
              <w:t>Светлинское</w:t>
            </w:r>
            <w:proofErr w:type="spellEnd"/>
            <w:r w:rsidRPr="004C41FE">
              <w:rPr>
                <w:rFonts w:ascii="Times New Roman" w:hAnsi="Times New Roman" w:cs="Times New Roman"/>
              </w:rPr>
              <w:t>.</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АО «Южуралзолото Группа Компаний» осуществляет свою деятельность по следующим основным направлениям:</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добыча золотосодержащей руды подземным способом в пределах Кочкарского месторождения;</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добыча золотосодержащей руды открытым способом в пределах Светлинского месторождения;</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 разведка и опытно-промышленная разработка открытым способом </w:t>
            </w:r>
            <w:proofErr w:type="spellStart"/>
            <w:r w:rsidRPr="004C41FE">
              <w:rPr>
                <w:rFonts w:ascii="Times New Roman" w:hAnsi="Times New Roman" w:cs="Times New Roman"/>
              </w:rPr>
              <w:t>Березняковского</w:t>
            </w:r>
            <w:proofErr w:type="spellEnd"/>
            <w:r w:rsidRPr="004C41FE">
              <w:rPr>
                <w:rFonts w:ascii="Times New Roman" w:hAnsi="Times New Roman" w:cs="Times New Roman"/>
              </w:rPr>
              <w:t xml:space="preserve"> месторождения;</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 добыча рудного золота на месторождении </w:t>
            </w:r>
            <w:proofErr w:type="gramStart"/>
            <w:r w:rsidRPr="004C41FE">
              <w:rPr>
                <w:rFonts w:ascii="Times New Roman" w:hAnsi="Times New Roman" w:cs="Times New Roman"/>
              </w:rPr>
              <w:t>Западный</w:t>
            </w:r>
            <w:proofErr w:type="gramEnd"/>
            <w:r w:rsidRPr="004C41FE">
              <w:rPr>
                <w:rFonts w:ascii="Times New Roman" w:hAnsi="Times New Roman" w:cs="Times New Roman"/>
              </w:rPr>
              <w:t xml:space="preserve"> </w:t>
            </w:r>
            <w:proofErr w:type="spellStart"/>
            <w:r w:rsidRPr="004C41FE">
              <w:rPr>
                <w:rFonts w:ascii="Times New Roman" w:hAnsi="Times New Roman" w:cs="Times New Roman"/>
              </w:rPr>
              <w:t>Курасан</w:t>
            </w:r>
            <w:proofErr w:type="spellEnd"/>
            <w:r w:rsidRPr="004C41FE">
              <w:rPr>
                <w:rFonts w:ascii="Times New Roman" w:hAnsi="Times New Roman" w:cs="Times New Roman"/>
              </w:rPr>
              <w:t xml:space="preserve"> и Южный </w:t>
            </w:r>
            <w:proofErr w:type="spellStart"/>
            <w:r w:rsidRPr="004C41FE">
              <w:rPr>
                <w:rFonts w:ascii="Times New Roman" w:hAnsi="Times New Roman" w:cs="Times New Roman"/>
              </w:rPr>
              <w:t>Курасан</w:t>
            </w:r>
            <w:proofErr w:type="spellEnd"/>
            <w:r w:rsidRPr="004C41FE">
              <w:rPr>
                <w:rFonts w:ascii="Times New Roman" w:hAnsi="Times New Roman" w:cs="Times New Roman"/>
              </w:rPr>
              <w:t>;</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 переработка собственной и давальческой золотосодержащей руды на трех </w:t>
            </w:r>
            <w:proofErr w:type="spellStart"/>
            <w:r w:rsidRPr="004C41FE">
              <w:rPr>
                <w:rFonts w:ascii="Times New Roman" w:hAnsi="Times New Roman" w:cs="Times New Roman"/>
              </w:rPr>
              <w:t>золотоизвлекательных</w:t>
            </w:r>
            <w:proofErr w:type="spellEnd"/>
            <w:r w:rsidRPr="004C41FE">
              <w:rPr>
                <w:rFonts w:ascii="Times New Roman" w:hAnsi="Times New Roman" w:cs="Times New Roman"/>
              </w:rPr>
              <w:t xml:space="preserve"> фабриках (ЗИФ Кочкарская, ЗИФ </w:t>
            </w:r>
            <w:proofErr w:type="spellStart"/>
            <w:r w:rsidRPr="004C41FE">
              <w:rPr>
                <w:rFonts w:ascii="Times New Roman" w:hAnsi="Times New Roman" w:cs="Times New Roman"/>
              </w:rPr>
              <w:t>Березняковская</w:t>
            </w:r>
            <w:proofErr w:type="spellEnd"/>
            <w:r w:rsidRPr="004C41FE">
              <w:rPr>
                <w:rFonts w:ascii="Times New Roman" w:hAnsi="Times New Roman" w:cs="Times New Roman"/>
              </w:rPr>
              <w:t xml:space="preserve"> и ФЗЦО им. Артема);</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 переработка золотосодержащей руды проводится на установках кучного выщелачивания на двух  месторождениях: </w:t>
            </w:r>
            <w:proofErr w:type="spellStart"/>
            <w:r w:rsidRPr="004C41FE">
              <w:rPr>
                <w:rFonts w:ascii="Times New Roman" w:hAnsi="Times New Roman" w:cs="Times New Roman"/>
              </w:rPr>
              <w:t>Березняковское</w:t>
            </w:r>
            <w:proofErr w:type="spellEnd"/>
            <w:r w:rsidRPr="004C41FE">
              <w:rPr>
                <w:rFonts w:ascii="Times New Roman" w:hAnsi="Times New Roman" w:cs="Times New Roman"/>
              </w:rPr>
              <w:t xml:space="preserve"> и Западный </w:t>
            </w:r>
            <w:proofErr w:type="spellStart"/>
            <w:r w:rsidRPr="004C41FE">
              <w:rPr>
                <w:rFonts w:ascii="Times New Roman" w:hAnsi="Times New Roman" w:cs="Times New Roman"/>
              </w:rPr>
              <w:t>Курасан</w:t>
            </w:r>
            <w:proofErr w:type="spellEnd"/>
            <w:r w:rsidRPr="004C41FE">
              <w:rPr>
                <w:rFonts w:ascii="Times New Roman" w:hAnsi="Times New Roman" w:cs="Times New Roman"/>
              </w:rPr>
              <w:t>;</w:t>
            </w:r>
          </w:p>
          <w:p w:rsidR="004C41FE" w:rsidRPr="004C41FE" w:rsidRDefault="004C41FE" w:rsidP="004C41FE">
            <w:pPr>
              <w:spacing w:after="0" w:line="240" w:lineRule="auto"/>
              <w:ind w:firstLine="360"/>
              <w:jc w:val="both"/>
              <w:rPr>
                <w:rFonts w:ascii="Times New Roman" w:hAnsi="Times New Roman" w:cs="Times New Roman"/>
                <w:sz w:val="26"/>
                <w:szCs w:val="26"/>
              </w:rPr>
            </w:pPr>
            <w:r w:rsidRPr="004C41FE">
              <w:rPr>
                <w:rFonts w:ascii="Times New Roman" w:hAnsi="Times New Roman" w:cs="Times New Roman"/>
              </w:rPr>
              <w:t xml:space="preserve">- проведение геологоразведочных работ на рудное золото на глубоких горизонтах Кочкарского месторождения, флангах Светлинского месторождения, </w:t>
            </w:r>
            <w:proofErr w:type="spellStart"/>
            <w:r w:rsidRPr="004C41FE">
              <w:rPr>
                <w:rFonts w:ascii="Times New Roman" w:hAnsi="Times New Roman" w:cs="Times New Roman"/>
              </w:rPr>
              <w:t>Березняковского</w:t>
            </w:r>
            <w:proofErr w:type="spellEnd"/>
            <w:r w:rsidRPr="004C41FE">
              <w:rPr>
                <w:rFonts w:ascii="Times New Roman" w:hAnsi="Times New Roman" w:cs="Times New Roman"/>
              </w:rPr>
              <w:t xml:space="preserve">  месторождения, месторождений Западный и Южный </w:t>
            </w:r>
            <w:proofErr w:type="spellStart"/>
            <w:r w:rsidRPr="004C41FE">
              <w:rPr>
                <w:rFonts w:ascii="Times New Roman" w:hAnsi="Times New Roman" w:cs="Times New Roman"/>
              </w:rPr>
              <w:t>Курасан</w:t>
            </w:r>
            <w:proofErr w:type="spellEnd"/>
            <w:r w:rsidRPr="004C41FE">
              <w:rPr>
                <w:rFonts w:ascii="Times New Roman" w:hAnsi="Times New Roman" w:cs="Times New Roman"/>
              </w:rPr>
              <w:t>, на участке «</w:t>
            </w:r>
            <w:proofErr w:type="spellStart"/>
            <w:r w:rsidRPr="004C41FE">
              <w:rPr>
                <w:rFonts w:ascii="Times New Roman" w:hAnsi="Times New Roman" w:cs="Times New Roman"/>
              </w:rPr>
              <w:t>Алтынташ</w:t>
            </w:r>
            <w:proofErr w:type="spellEnd"/>
            <w:r w:rsidRPr="004C41FE">
              <w:rPr>
                <w:rFonts w:ascii="Times New Roman" w:hAnsi="Times New Roman" w:cs="Times New Roman"/>
              </w:rPr>
              <w:t xml:space="preserve">», </w:t>
            </w:r>
            <w:proofErr w:type="spellStart"/>
            <w:r w:rsidRPr="004C41FE">
              <w:rPr>
                <w:rFonts w:ascii="Times New Roman" w:hAnsi="Times New Roman" w:cs="Times New Roman"/>
              </w:rPr>
              <w:t>Наилинском</w:t>
            </w:r>
            <w:proofErr w:type="spellEnd"/>
            <w:r w:rsidRPr="004C41FE">
              <w:rPr>
                <w:rFonts w:ascii="Times New Roman" w:hAnsi="Times New Roman" w:cs="Times New Roman"/>
              </w:rPr>
              <w:t xml:space="preserve">, </w:t>
            </w:r>
            <w:proofErr w:type="spellStart"/>
            <w:r w:rsidRPr="004C41FE">
              <w:rPr>
                <w:rFonts w:ascii="Times New Roman" w:hAnsi="Times New Roman" w:cs="Times New Roman"/>
              </w:rPr>
              <w:t>Северо-Светлинском</w:t>
            </w:r>
            <w:proofErr w:type="spellEnd"/>
            <w:r w:rsidRPr="004C41FE">
              <w:rPr>
                <w:rFonts w:ascii="Times New Roman" w:hAnsi="Times New Roman" w:cs="Times New Roman"/>
              </w:rPr>
              <w:t xml:space="preserve"> и </w:t>
            </w:r>
            <w:proofErr w:type="spellStart"/>
            <w:r w:rsidRPr="004C41FE">
              <w:rPr>
                <w:rFonts w:ascii="Times New Roman" w:hAnsi="Times New Roman" w:cs="Times New Roman"/>
              </w:rPr>
              <w:t>Осейском</w:t>
            </w:r>
            <w:proofErr w:type="spellEnd"/>
            <w:r w:rsidRPr="004C41FE">
              <w:rPr>
                <w:rFonts w:ascii="Times New Roman" w:hAnsi="Times New Roman" w:cs="Times New Roman"/>
              </w:rPr>
              <w:t xml:space="preserve"> участках, в районе хутора Пчельник.</w:t>
            </w:r>
          </w:p>
        </w:tc>
      </w:tr>
      <w:tr w:rsidR="004C41FE" w:rsidRPr="004C41FE" w:rsidTr="00D07965">
        <w:tc>
          <w:tcPr>
            <w:tcW w:w="1938" w:type="dxa"/>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lastRenderedPageBreak/>
              <w:t>ООО «Новые Технологии»</w:t>
            </w:r>
          </w:p>
        </w:tc>
        <w:tc>
          <w:tcPr>
            <w:tcW w:w="8201" w:type="dxa"/>
          </w:tcPr>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ООО «Новые Технологии» основано в конце 2011 года. Это одно из динамично развивающихся предприятий Челябинской области. В сентябре 2012 года было принято решение о строительстве цеха по производству </w:t>
            </w:r>
            <w:proofErr w:type="spellStart"/>
            <w:r w:rsidRPr="004C41FE">
              <w:rPr>
                <w:rFonts w:ascii="Times New Roman" w:hAnsi="Times New Roman" w:cs="Times New Roman"/>
              </w:rPr>
              <w:t>стекломагнезитовых</w:t>
            </w:r>
            <w:proofErr w:type="spellEnd"/>
            <w:r w:rsidRPr="004C41FE">
              <w:rPr>
                <w:rFonts w:ascii="Times New Roman" w:hAnsi="Times New Roman" w:cs="Times New Roman"/>
              </w:rPr>
              <w:t xml:space="preserve"> листов СМЛ – Пласт, а 28 мая 2013 года была торжественно пущена линия по изготовлению СМЛ.</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Основными задачам</w:t>
            </w:r>
            <w:proofErr w:type="gramStart"/>
            <w:r w:rsidRPr="004C41FE">
              <w:rPr>
                <w:rFonts w:ascii="Times New Roman" w:hAnsi="Times New Roman" w:cs="Times New Roman"/>
              </w:rPr>
              <w:t>и ООО</w:t>
            </w:r>
            <w:proofErr w:type="gramEnd"/>
            <w:r w:rsidRPr="004C41FE">
              <w:rPr>
                <w:rFonts w:ascii="Times New Roman" w:hAnsi="Times New Roman" w:cs="Times New Roman"/>
              </w:rPr>
              <w:t xml:space="preserve"> «Новые Технологии» являются: использование инновационных, экологически чистых и ресурсосберегающих технологий. </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С 2013 года на заводе производят листы СМЛ (</w:t>
            </w:r>
            <w:proofErr w:type="spellStart"/>
            <w:r w:rsidRPr="004C41FE">
              <w:rPr>
                <w:rFonts w:ascii="Times New Roman" w:hAnsi="Times New Roman" w:cs="Times New Roman"/>
              </w:rPr>
              <w:t>стекломагнизитовые</w:t>
            </w:r>
            <w:proofErr w:type="spellEnd"/>
            <w:r w:rsidRPr="004C41FE">
              <w:rPr>
                <w:rFonts w:ascii="Times New Roman" w:hAnsi="Times New Roman" w:cs="Times New Roman"/>
              </w:rPr>
              <w:t xml:space="preserve"> листы).</w:t>
            </w:r>
          </w:p>
          <w:p w:rsidR="004C41FE" w:rsidRPr="004C41FE" w:rsidRDefault="004C41FE" w:rsidP="004C41FE">
            <w:pPr>
              <w:spacing w:after="0" w:line="240" w:lineRule="auto"/>
              <w:ind w:firstLine="360"/>
              <w:jc w:val="both"/>
              <w:rPr>
                <w:rFonts w:ascii="Times New Roman" w:hAnsi="Times New Roman" w:cs="Times New Roman"/>
              </w:rPr>
            </w:pPr>
            <w:r w:rsidRPr="004C41FE">
              <w:rPr>
                <w:rFonts w:ascii="Times New Roman" w:hAnsi="Times New Roman" w:cs="Times New Roman"/>
              </w:rPr>
              <w:t xml:space="preserve">Восстановлено производство окислительного обжига полиметаллического сульфидного концентрата с помощью двух печей Г-38 производительностью 12 тыс. тонн в год каждая. В настоящее время производится обжиг золотосодержащего концентрата. Кроме того, ведутся работы по увеличению объемов производства, внедрению экологического мониторинга с целью снижения негативного воздействия на окружающую среду. </w:t>
            </w:r>
          </w:p>
        </w:tc>
      </w:tr>
      <w:tr w:rsidR="004C41FE" w:rsidRPr="004C41FE" w:rsidTr="00D07965">
        <w:tc>
          <w:tcPr>
            <w:tcW w:w="1938" w:type="dxa"/>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ООО «Пласт-Рифей»</w:t>
            </w:r>
          </w:p>
        </w:tc>
        <w:tc>
          <w:tcPr>
            <w:tcW w:w="8201" w:type="dxa"/>
          </w:tcPr>
          <w:p w:rsidR="004C41FE" w:rsidRPr="004C41FE" w:rsidRDefault="004C41FE" w:rsidP="004C41FE">
            <w:pPr>
              <w:pStyle w:val="aa"/>
              <w:spacing w:line="240" w:lineRule="auto"/>
              <w:ind w:left="0"/>
              <w:rPr>
                <w:szCs w:val="24"/>
              </w:rPr>
            </w:pPr>
            <w:r w:rsidRPr="004C41FE">
              <w:rPr>
                <w:szCs w:val="24"/>
              </w:rPr>
              <w:t>ООО «Пласт-Рифей»  осуществляет свою деятельность с 1992 года, и разрабатывает самое крупное месторождение каолинов в России - Журавлиный Лог</w:t>
            </w:r>
            <w:r w:rsidRPr="004C41FE">
              <w:rPr>
                <w:rFonts w:eastAsia="Times New Roman"/>
                <w:szCs w:val="24"/>
              </w:rPr>
              <w:t xml:space="preserve">. </w:t>
            </w:r>
            <w:r w:rsidRPr="004C41FE">
              <w:rPr>
                <w:szCs w:val="24"/>
              </w:rPr>
              <w:t xml:space="preserve">В своей производственной деятельности предприятие направляет все усилия на рациональное использование природных ресурсов. Предприятие имеет обогатительное производство, технологическую линию по производству </w:t>
            </w:r>
            <w:proofErr w:type="spellStart"/>
            <w:r w:rsidRPr="004C41FE">
              <w:rPr>
                <w:szCs w:val="24"/>
              </w:rPr>
              <w:t>метакаолина</w:t>
            </w:r>
            <w:proofErr w:type="spellEnd"/>
            <w:r w:rsidRPr="004C41FE">
              <w:rPr>
                <w:szCs w:val="24"/>
              </w:rPr>
              <w:t xml:space="preserve"> (термическая обработка обогащенного каолина), производственную лабораторию, осуществляющую контроль качества продуктов обогащения и проведение исследовательских работ по новым  направлениям.</w:t>
            </w:r>
          </w:p>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Месторождение Журавлиный Лог содержит более 60 млн. тонн разведанных запасов первичных каолинов. На месторождении выделено пять крупных залежей высококачественных каолинов, пригодных для производства качественных каолиновых концентратов, отвечающих требованиям различных отраслей промышленности. В зависимости от материнских пород каолины подразделены на природные типы:</w:t>
            </w:r>
            <w:r w:rsidRPr="004C41FE">
              <w:rPr>
                <w:rFonts w:ascii="Times New Roman" w:hAnsi="Times New Roman" w:cs="Times New Roman"/>
              </w:rPr>
              <w:br/>
            </w:r>
            <w:r w:rsidRPr="004C41FE">
              <w:rPr>
                <w:rFonts w:ascii="Times New Roman" w:hAnsi="Times New Roman" w:cs="Times New Roman"/>
              </w:rPr>
              <w:lastRenderedPageBreak/>
              <w:t>— нормальные каолины по гранитам,</w:t>
            </w:r>
            <w:r w:rsidRPr="004C41FE">
              <w:rPr>
                <w:rFonts w:ascii="Times New Roman" w:hAnsi="Times New Roman" w:cs="Times New Roman"/>
              </w:rPr>
              <w:br/>
              <w:t>— щелочные каолины по гранитам,</w:t>
            </w:r>
            <w:r w:rsidRPr="004C41FE">
              <w:rPr>
                <w:rFonts w:ascii="Times New Roman" w:hAnsi="Times New Roman" w:cs="Times New Roman"/>
              </w:rPr>
              <w:br/>
              <w:t>— нормальные каолины по гнейсам.</w:t>
            </w:r>
          </w:p>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Уникальность месторождения заключается в наличии на месторождении каолинов различных по химическому и минералогическому составу, а также кварцевых песков с минимальным содержанием красящих оксидов, что позволяет предприятию выпускать не только качественные каолиновые и кварцевые концентраты, но и </w:t>
            </w:r>
            <w:proofErr w:type="spellStart"/>
            <w:r w:rsidRPr="004C41FE">
              <w:rPr>
                <w:rFonts w:ascii="Times New Roman" w:hAnsi="Times New Roman" w:cs="Times New Roman"/>
              </w:rPr>
              <w:t>миксы</w:t>
            </w:r>
            <w:proofErr w:type="spellEnd"/>
            <w:r w:rsidRPr="004C41FE">
              <w:rPr>
                <w:rFonts w:ascii="Times New Roman" w:hAnsi="Times New Roman" w:cs="Times New Roman"/>
              </w:rPr>
              <w:t xml:space="preserve"> песка и каолина. </w:t>
            </w:r>
          </w:p>
        </w:tc>
      </w:tr>
      <w:tr w:rsidR="004C41FE" w:rsidRPr="004C41FE" w:rsidTr="00D07965">
        <w:tc>
          <w:tcPr>
            <w:tcW w:w="1938" w:type="dxa"/>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lastRenderedPageBreak/>
              <w:t>Пластовское муниципальное ПМОКХ</w:t>
            </w:r>
          </w:p>
        </w:tc>
        <w:tc>
          <w:tcPr>
            <w:tcW w:w="8201" w:type="dxa"/>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Предприятие работает на территории Пластовского муниципального района уже более 65 лет.</w:t>
            </w:r>
          </w:p>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ПМОКХ осуществляет деятельность по очистке дорог от снега, вывозу снега от обочин дорог, обслуживанию электросетей уличного освещения, содержанию и уходу за зелеными насаждениями, посадке деревьев, разбивке цветников, очистке города от несанкционированных свалок и твердых бытовых отходов, содержанию банного комплекса и многое другое. </w:t>
            </w:r>
          </w:p>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 xml:space="preserve">ПМОКХ является одним из стабильно работающих в городе предприятий коммунального хозяйства. </w:t>
            </w:r>
          </w:p>
        </w:tc>
      </w:tr>
      <w:tr w:rsidR="004C41FE" w:rsidRPr="004C41FE" w:rsidTr="00D07965">
        <w:tc>
          <w:tcPr>
            <w:tcW w:w="1938" w:type="dxa"/>
          </w:tcPr>
          <w:p w:rsidR="004C41FE"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t>ООО «Районная Управляющая Компания»</w:t>
            </w:r>
          </w:p>
        </w:tc>
        <w:tc>
          <w:tcPr>
            <w:tcW w:w="8201" w:type="dxa"/>
          </w:tcPr>
          <w:p w:rsidR="004C41FE" w:rsidRPr="004C41FE" w:rsidRDefault="004C41FE" w:rsidP="004C41FE">
            <w:pPr>
              <w:spacing w:after="0" w:line="240" w:lineRule="auto"/>
              <w:ind w:firstLine="709"/>
              <w:jc w:val="both"/>
              <w:rPr>
                <w:rFonts w:ascii="Times New Roman" w:hAnsi="Times New Roman" w:cs="Times New Roman"/>
                <w:bCs/>
                <w:color w:val="000000"/>
              </w:rPr>
            </w:pPr>
            <w:r w:rsidRPr="004C41FE">
              <w:rPr>
                <w:rFonts w:ascii="Times New Roman" w:hAnsi="Times New Roman" w:cs="Times New Roman"/>
                <w:bCs/>
                <w:color w:val="000000"/>
              </w:rPr>
              <w:t>ООО «Районная управляющая компания» и группа коммунальных предприятий ООО «Теплосервис», ООО «Жилсервис», ООО «Водоотведение», ООО «Коммунальный транспорт» осуществляют деятельность по предоставлению жилищных и коммунальных услуг на территории Пластовского муниципального района.</w:t>
            </w:r>
          </w:p>
          <w:p w:rsidR="004C41FE" w:rsidRPr="004C41FE" w:rsidRDefault="004C41FE" w:rsidP="004C41FE">
            <w:pPr>
              <w:spacing w:after="0" w:line="240" w:lineRule="auto"/>
              <w:ind w:firstLine="709"/>
              <w:jc w:val="both"/>
              <w:rPr>
                <w:rFonts w:ascii="Times New Roman" w:hAnsi="Times New Roman" w:cs="Times New Roman"/>
                <w:bCs/>
                <w:color w:val="000000"/>
              </w:rPr>
            </w:pPr>
            <w:r w:rsidRPr="004C41FE">
              <w:rPr>
                <w:rFonts w:ascii="Times New Roman" w:hAnsi="Times New Roman" w:cs="Times New Roman"/>
              </w:rPr>
              <w:t>ООО «Районная управляющая компания» производит тепловую энергию (11 котельных), является управляющей организацией по многоквартирным домам.</w:t>
            </w:r>
          </w:p>
          <w:p w:rsidR="004C41FE" w:rsidRPr="004C41FE" w:rsidRDefault="004C41FE" w:rsidP="004C41FE">
            <w:pPr>
              <w:spacing w:after="0" w:line="240" w:lineRule="auto"/>
              <w:ind w:firstLine="709"/>
              <w:jc w:val="both"/>
              <w:rPr>
                <w:rFonts w:ascii="Times New Roman" w:hAnsi="Times New Roman" w:cs="Times New Roman"/>
                <w:bCs/>
                <w:color w:val="000000"/>
              </w:rPr>
            </w:pPr>
            <w:r w:rsidRPr="004C41FE">
              <w:rPr>
                <w:rFonts w:ascii="Times New Roman" w:hAnsi="Times New Roman" w:cs="Times New Roman"/>
              </w:rPr>
              <w:t xml:space="preserve">ООО «Теплосервис», предприятие является организацией по транспортировке тепловой энергии. Общая протяженность тепловых сетей составляет </w:t>
            </w:r>
            <w:smartTag w:uri="urn:schemas-microsoft-com:office:smarttags" w:element="metricconverter">
              <w:smartTagPr>
                <w:attr w:name="ProductID" w:val="31,6 км"/>
              </w:smartTagPr>
              <w:r w:rsidRPr="004C41FE">
                <w:rPr>
                  <w:rFonts w:ascii="Times New Roman" w:hAnsi="Times New Roman" w:cs="Times New Roman"/>
                </w:rPr>
                <w:t>31,6 км</w:t>
              </w:r>
            </w:smartTag>
            <w:r w:rsidRPr="004C41FE">
              <w:rPr>
                <w:rFonts w:ascii="Times New Roman" w:hAnsi="Times New Roman" w:cs="Times New Roman"/>
              </w:rPr>
              <w:t>.</w:t>
            </w:r>
          </w:p>
          <w:p w:rsidR="004C41FE" w:rsidRPr="004C41FE" w:rsidRDefault="004C41FE" w:rsidP="004C41FE">
            <w:pPr>
              <w:spacing w:after="0" w:line="240" w:lineRule="auto"/>
              <w:ind w:firstLine="709"/>
              <w:jc w:val="both"/>
              <w:rPr>
                <w:rFonts w:ascii="Times New Roman" w:hAnsi="Times New Roman" w:cs="Times New Roman"/>
                <w:bCs/>
                <w:color w:val="000000"/>
              </w:rPr>
            </w:pPr>
            <w:r w:rsidRPr="004C41FE">
              <w:rPr>
                <w:rFonts w:ascii="Times New Roman" w:hAnsi="Times New Roman" w:cs="Times New Roman"/>
              </w:rPr>
              <w:t>ООО «Жилсервис» обслуживает жилищный фонд. Общая площадь обслуживаемого жилищного фонда составляет более 185 тыс.кв.м.</w:t>
            </w:r>
          </w:p>
          <w:p w:rsidR="004C41FE" w:rsidRPr="004C41FE" w:rsidRDefault="004C41FE" w:rsidP="004C41FE">
            <w:pPr>
              <w:spacing w:after="0" w:line="240" w:lineRule="auto"/>
              <w:ind w:firstLine="709"/>
              <w:jc w:val="both"/>
              <w:rPr>
                <w:rFonts w:ascii="Times New Roman" w:hAnsi="Times New Roman" w:cs="Times New Roman"/>
              </w:rPr>
            </w:pPr>
            <w:r w:rsidRPr="004C41FE">
              <w:rPr>
                <w:rFonts w:ascii="Times New Roman" w:hAnsi="Times New Roman" w:cs="Times New Roman"/>
              </w:rPr>
              <w:t xml:space="preserve">ООО «Водоотведение» оказывает услуги по централизованному водоотведению. В составе предприятия находятся очистные сооружения и 4 </w:t>
            </w:r>
            <w:proofErr w:type="gramStart"/>
            <w:r w:rsidRPr="004C41FE">
              <w:rPr>
                <w:rFonts w:ascii="Times New Roman" w:hAnsi="Times New Roman" w:cs="Times New Roman"/>
              </w:rPr>
              <w:t>насосных</w:t>
            </w:r>
            <w:proofErr w:type="gramEnd"/>
            <w:r w:rsidRPr="004C41FE">
              <w:rPr>
                <w:rFonts w:ascii="Times New Roman" w:hAnsi="Times New Roman" w:cs="Times New Roman"/>
              </w:rPr>
              <w:t xml:space="preserve"> станции. </w:t>
            </w:r>
          </w:p>
          <w:p w:rsidR="004C41FE" w:rsidRPr="004C41FE" w:rsidRDefault="004C41FE" w:rsidP="004C41FE">
            <w:pPr>
              <w:spacing w:after="0" w:line="240" w:lineRule="auto"/>
              <w:ind w:firstLine="709"/>
              <w:jc w:val="both"/>
              <w:rPr>
                <w:rFonts w:ascii="Times New Roman" w:hAnsi="Times New Roman" w:cs="Times New Roman"/>
              </w:rPr>
            </w:pPr>
            <w:r w:rsidRPr="004C41FE">
              <w:rPr>
                <w:rFonts w:ascii="Times New Roman" w:hAnsi="Times New Roman" w:cs="Times New Roman"/>
              </w:rPr>
              <w:t>ООО «Коммунальный транспорт» оказывает услуги по вывозу жидких бытовых отходов, вывозу и захоронению твердых бытовых услуг.</w:t>
            </w:r>
          </w:p>
        </w:tc>
      </w:tr>
    </w:tbl>
    <w:p w:rsidR="004C41FE" w:rsidRPr="004C41FE" w:rsidRDefault="004C41FE" w:rsidP="004C41FE">
      <w:pPr>
        <w:spacing w:after="0" w:line="240" w:lineRule="auto"/>
        <w:jc w:val="both"/>
        <w:rPr>
          <w:rFonts w:ascii="Times New Roman" w:hAnsi="Times New Roman" w:cs="Times New Roman"/>
          <w:sz w:val="28"/>
          <w:szCs w:val="28"/>
        </w:rPr>
      </w:pP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Объем инвестиций.</w:t>
      </w:r>
      <w:r w:rsidRPr="004C41FE">
        <w:rPr>
          <w:rFonts w:ascii="Times New Roman" w:hAnsi="Times New Roman" w:cs="Times New Roman"/>
        </w:rPr>
        <w:t xml:space="preserve"> </w:t>
      </w:r>
      <w:r w:rsidRPr="004C41FE">
        <w:rPr>
          <w:rFonts w:ascii="Times New Roman" w:hAnsi="Times New Roman" w:cs="Times New Roman"/>
          <w:sz w:val="28"/>
          <w:szCs w:val="28"/>
        </w:rPr>
        <w:t xml:space="preserve">Наблюдается </w:t>
      </w:r>
      <w:r w:rsidRPr="004C41FE">
        <w:rPr>
          <w:rFonts w:ascii="Times New Roman" w:hAnsi="Times New Roman" w:cs="Times New Roman"/>
          <w:color w:val="000000"/>
          <w:sz w:val="28"/>
          <w:szCs w:val="28"/>
        </w:rPr>
        <w:t>стабильная</w:t>
      </w:r>
      <w:r w:rsidRPr="004C41FE">
        <w:rPr>
          <w:rFonts w:ascii="Times New Roman" w:hAnsi="Times New Roman" w:cs="Times New Roman"/>
          <w:color w:val="FF0000"/>
          <w:sz w:val="28"/>
          <w:szCs w:val="28"/>
        </w:rPr>
        <w:t xml:space="preserve"> </w:t>
      </w:r>
      <w:r w:rsidRPr="004C41FE">
        <w:rPr>
          <w:rFonts w:ascii="Times New Roman" w:hAnsi="Times New Roman" w:cs="Times New Roman"/>
          <w:sz w:val="28"/>
          <w:szCs w:val="28"/>
        </w:rPr>
        <w:t xml:space="preserve"> динамика инвестиций в основной капитал.  Значительный рост объема инвестиций в основной капитал зафиксирован в 2018 году. </w:t>
      </w: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9</w:t>
      </w:r>
    </w:p>
    <w:p w:rsidR="004C41FE" w:rsidRPr="004C41FE" w:rsidRDefault="004C41FE" w:rsidP="004C41FE">
      <w:pPr>
        <w:spacing w:after="0" w:line="240" w:lineRule="auto"/>
        <w:jc w:val="both"/>
        <w:rPr>
          <w:rFonts w:ascii="Times New Roman" w:hAnsi="Times New Roman" w:cs="Times New Roman"/>
          <w:sz w:val="26"/>
          <w:szCs w:val="26"/>
        </w:rPr>
      </w:pPr>
      <w:r w:rsidRPr="004C41FE">
        <w:rPr>
          <w:rFonts w:ascii="Times New Roman" w:hAnsi="Times New Roman" w:cs="Times New Roman"/>
          <w:noProof/>
          <w:sz w:val="26"/>
          <w:szCs w:val="26"/>
        </w:rPr>
        <w:lastRenderedPageBreak/>
        <w:drawing>
          <wp:inline distT="0" distB="0" distL="0" distR="0">
            <wp:extent cx="6353175" cy="339534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Строительство. В Пласте продолжается  активное строительство многоквартирных жилых домов, индивидуального жилья, ведется подготовка земельных участков для целей многоквартирного и индивидуального строительства (межевание, планировка, разработка проектно-сметной документации).</w:t>
      </w:r>
    </w:p>
    <w:p w:rsidR="004C41FE" w:rsidRPr="004C41FE" w:rsidRDefault="004C41FE" w:rsidP="004C41FE">
      <w:pPr>
        <w:spacing w:after="0" w:line="240" w:lineRule="auto"/>
        <w:ind w:firstLine="567"/>
        <w:jc w:val="both"/>
        <w:rPr>
          <w:rFonts w:ascii="Times New Roman" w:hAnsi="Times New Roman" w:cs="Times New Roman"/>
          <w:sz w:val="28"/>
          <w:szCs w:val="28"/>
        </w:rPr>
      </w:pPr>
      <w:r w:rsidRPr="004C41FE">
        <w:rPr>
          <w:rFonts w:ascii="Times New Roman" w:hAnsi="Times New Roman" w:cs="Times New Roman"/>
          <w:bCs/>
          <w:sz w:val="28"/>
          <w:szCs w:val="28"/>
        </w:rPr>
        <w:t xml:space="preserve">За 2018 год введено в эксплуатацию 9451,7 кв. метров жилья, </w:t>
      </w:r>
      <w:r w:rsidRPr="004C41FE">
        <w:rPr>
          <w:rFonts w:ascii="Times New Roman" w:hAnsi="Times New Roman" w:cs="Times New Roman"/>
          <w:sz w:val="28"/>
          <w:szCs w:val="28"/>
        </w:rPr>
        <w:t xml:space="preserve"> в том числе:</w:t>
      </w:r>
    </w:p>
    <w:p w:rsidR="004C41FE" w:rsidRPr="004C41FE" w:rsidRDefault="004C41FE" w:rsidP="004C41FE">
      <w:pPr>
        <w:pStyle w:val="aa"/>
        <w:numPr>
          <w:ilvl w:val="0"/>
          <w:numId w:val="7"/>
        </w:numPr>
        <w:spacing w:line="240" w:lineRule="auto"/>
        <w:ind w:left="0" w:firstLine="709"/>
        <w:jc w:val="both"/>
        <w:rPr>
          <w:sz w:val="28"/>
          <w:szCs w:val="28"/>
        </w:rPr>
      </w:pPr>
      <w:r w:rsidRPr="004C41FE">
        <w:rPr>
          <w:sz w:val="28"/>
          <w:szCs w:val="28"/>
        </w:rPr>
        <w:t>многоквартирного – 2625,7 кв.м.  (дом по ул. Сумина, 3)</w:t>
      </w:r>
    </w:p>
    <w:p w:rsidR="004C41FE" w:rsidRPr="004C41FE" w:rsidRDefault="004C41FE" w:rsidP="004C41FE">
      <w:pPr>
        <w:pStyle w:val="aa"/>
        <w:numPr>
          <w:ilvl w:val="0"/>
          <w:numId w:val="7"/>
        </w:numPr>
        <w:spacing w:line="240" w:lineRule="auto"/>
        <w:ind w:left="0" w:firstLine="709"/>
        <w:jc w:val="both"/>
        <w:rPr>
          <w:sz w:val="28"/>
          <w:szCs w:val="28"/>
        </w:rPr>
      </w:pPr>
      <w:r w:rsidRPr="004C41FE">
        <w:rPr>
          <w:sz w:val="28"/>
          <w:szCs w:val="28"/>
        </w:rPr>
        <w:t xml:space="preserve"> индивидуального – 6826,0 кв. м.</w:t>
      </w:r>
    </w:p>
    <w:p w:rsidR="004C41FE" w:rsidRPr="004C41FE" w:rsidRDefault="004C41FE" w:rsidP="004C41FE">
      <w:pPr>
        <w:spacing w:after="0" w:line="240" w:lineRule="auto"/>
        <w:ind w:firstLine="708"/>
        <w:jc w:val="both"/>
        <w:rPr>
          <w:rFonts w:ascii="Times New Roman" w:hAnsi="Times New Roman" w:cs="Times New Roman"/>
          <w:sz w:val="28"/>
          <w:szCs w:val="28"/>
        </w:rPr>
      </w:pPr>
      <w:proofErr w:type="gramStart"/>
      <w:r w:rsidRPr="004C41FE">
        <w:rPr>
          <w:rFonts w:ascii="Times New Roman" w:hAnsi="Times New Roman" w:cs="Times New Roman"/>
          <w:sz w:val="28"/>
          <w:szCs w:val="28"/>
        </w:rPr>
        <w:t xml:space="preserve">28 семей или 62 человека переселены из аварийного жилищного фонда, признанного непригодным для проживания. </w:t>
      </w:r>
      <w:proofErr w:type="gramEnd"/>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 xml:space="preserve">В 2018 году было вручено 20 сертификатов молодым семьям в рамках государственной поддержки для улучшения жилищных условий на сумму 12 млн. 926 тыс. рублей. </w:t>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В настоящее время ведется строительство 1 секции 5-ти этажного дома по ул. Сумина, 5.</w:t>
      </w:r>
    </w:p>
    <w:p w:rsidR="004C41FE" w:rsidRPr="004C41FE" w:rsidRDefault="004C41FE" w:rsidP="004C41FE">
      <w:pPr>
        <w:spacing w:after="0" w:line="240" w:lineRule="auto"/>
        <w:ind w:firstLine="567"/>
        <w:jc w:val="both"/>
        <w:rPr>
          <w:rFonts w:ascii="Times New Roman" w:hAnsi="Times New Roman" w:cs="Times New Roman"/>
          <w:color w:val="000000"/>
          <w:sz w:val="28"/>
          <w:szCs w:val="28"/>
        </w:rPr>
      </w:pPr>
      <w:r w:rsidRPr="004C41FE">
        <w:rPr>
          <w:rFonts w:ascii="Times New Roman" w:hAnsi="Times New Roman" w:cs="Times New Roman"/>
          <w:color w:val="000000"/>
          <w:sz w:val="28"/>
          <w:szCs w:val="28"/>
        </w:rPr>
        <w:t xml:space="preserve">Завершены работы по газоснабжению малоэтажной жилой застройки 12 очереди в городе Пласт. Появилась возможность  газифицировать   278 дома.  </w:t>
      </w:r>
    </w:p>
    <w:p w:rsidR="004C41FE" w:rsidRPr="004C41FE" w:rsidRDefault="004C41FE" w:rsidP="004C41FE">
      <w:pPr>
        <w:spacing w:after="0" w:line="240" w:lineRule="auto"/>
        <w:ind w:firstLine="567"/>
        <w:jc w:val="both"/>
        <w:rPr>
          <w:rFonts w:ascii="Times New Roman" w:hAnsi="Times New Roman" w:cs="Times New Roman"/>
          <w:color w:val="000000"/>
          <w:sz w:val="28"/>
          <w:szCs w:val="28"/>
        </w:rPr>
      </w:pPr>
      <w:r w:rsidRPr="004C41FE">
        <w:rPr>
          <w:rFonts w:ascii="Times New Roman" w:hAnsi="Times New Roman" w:cs="Times New Roman"/>
          <w:color w:val="000000"/>
          <w:sz w:val="28"/>
          <w:szCs w:val="28"/>
        </w:rPr>
        <w:t>Выполнены работы по газоснабжению жилых домов в селе Чукса. Протяженность подземных газовых сетей составила  4 250  м., что позволит газифицировать  48 жилых домов.</w:t>
      </w:r>
    </w:p>
    <w:p w:rsidR="004C41FE" w:rsidRPr="004C41FE" w:rsidRDefault="004C41FE" w:rsidP="004C41FE">
      <w:pPr>
        <w:spacing w:after="0" w:line="240" w:lineRule="auto"/>
        <w:ind w:firstLine="567"/>
        <w:jc w:val="both"/>
        <w:rPr>
          <w:rFonts w:ascii="Times New Roman" w:hAnsi="Times New Roman" w:cs="Times New Roman"/>
          <w:color w:val="000000"/>
          <w:sz w:val="28"/>
          <w:szCs w:val="28"/>
        </w:rPr>
      </w:pPr>
      <w:r w:rsidRPr="004C41FE">
        <w:rPr>
          <w:rFonts w:ascii="Times New Roman" w:hAnsi="Times New Roman" w:cs="Times New Roman"/>
          <w:color w:val="000000"/>
          <w:sz w:val="28"/>
          <w:szCs w:val="28"/>
        </w:rPr>
        <w:t xml:space="preserve">Дополнительно в стадии разработки проектно-сметная документация по объекту межпоселкового газопровода высокого давления   участок  с. Котлик,- с. Кумляк, - с. Н. Кумляк, </w:t>
      </w:r>
      <w:proofErr w:type="gramStart"/>
      <w:r w:rsidRPr="004C41FE">
        <w:rPr>
          <w:rFonts w:ascii="Times New Roman" w:hAnsi="Times New Roman" w:cs="Times New Roman"/>
          <w:color w:val="000000"/>
          <w:sz w:val="28"/>
          <w:szCs w:val="28"/>
        </w:rPr>
        <w:t>-с</w:t>
      </w:r>
      <w:proofErr w:type="gramEnd"/>
      <w:r w:rsidRPr="004C41FE">
        <w:rPr>
          <w:rFonts w:ascii="Times New Roman" w:hAnsi="Times New Roman" w:cs="Times New Roman"/>
          <w:color w:val="000000"/>
          <w:sz w:val="28"/>
          <w:szCs w:val="28"/>
        </w:rPr>
        <w:t>. Кукушка. В этом году будут проведены работы по подводу к селам газовых сетей.</w:t>
      </w:r>
    </w:p>
    <w:p w:rsidR="004C41FE" w:rsidRPr="004C41FE" w:rsidRDefault="004C41FE" w:rsidP="004C41FE">
      <w:pPr>
        <w:spacing w:after="0" w:line="240" w:lineRule="auto"/>
        <w:ind w:firstLine="567"/>
        <w:jc w:val="both"/>
        <w:rPr>
          <w:rFonts w:ascii="Times New Roman" w:hAnsi="Times New Roman" w:cs="Times New Roman"/>
          <w:color w:val="000000"/>
          <w:sz w:val="28"/>
          <w:szCs w:val="28"/>
        </w:rPr>
      </w:pPr>
      <w:r w:rsidRPr="004C41FE">
        <w:rPr>
          <w:rFonts w:ascii="Times New Roman" w:hAnsi="Times New Roman" w:cs="Times New Roman"/>
          <w:color w:val="000000"/>
          <w:sz w:val="28"/>
          <w:szCs w:val="28"/>
        </w:rPr>
        <w:t xml:space="preserve">Проведен капитальный ремонт и техническое обслуживание сетей газоснабжения Пластовского городского поселения на сумму 959,2 тыс. руб., </w:t>
      </w:r>
      <w:r w:rsidRPr="004C41FE">
        <w:rPr>
          <w:rFonts w:ascii="Times New Roman" w:hAnsi="Times New Roman" w:cs="Times New Roman"/>
          <w:color w:val="000000"/>
          <w:sz w:val="28"/>
          <w:szCs w:val="28"/>
        </w:rPr>
        <w:lastRenderedPageBreak/>
        <w:t>в том числе работы по замене  ШРП №2 и  переносу участка  газопровода  высокого давления по  ул. Заводской.</w:t>
      </w:r>
    </w:p>
    <w:p w:rsidR="004C41FE" w:rsidRPr="004C41FE" w:rsidRDefault="004C41FE" w:rsidP="004C41FE">
      <w:pPr>
        <w:spacing w:after="0" w:line="240" w:lineRule="auto"/>
        <w:ind w:firstLine="567"/>
        <w:jc w:val="both"/>
        <w:rPr>
          <w:rFonts w:ascii="Times New Roman" w:hAnsi="Times New Roman" w:cs="Times New Roman"/>
          <w:color w:val="000000"/>
          <w:sz w:val="28"/>
          <w:szCs w:val="28"/>
        </w:rPr>
      </w:pPr>
      <w:r w:rsidRPr="004C41FE">
        <w:rPr>
          <w:rFonts w:ascii="Times New Roman" w:hAnsi="Times New Roman" w:cs="Times New Roman"/>
          <w:color w:val="000000"/>
          <w:sz w:val="28"/>
          <w:szCs w:val="28"/>
        </w:rPr>
        <w:t>Общая протяженность построенных газовых сетей в 2018 году на территории Пластовского муниципального района составила  18 км. 516  м.</w:t>
      </w:r>
    </w:p>
    <w:p w:rsidR="004C41FE" w:rsidRPr="004C41FE" w:rsidRDefault="004C41FE" w:rsidP="004C41FE">
      <w:pPr>
        <w:spacing w:after="0" w:line="240" w:lineRule="auto"/>
        <w:ind w:firstLine="567"/>
        <w:jc w:val="both"/>
        <w:rPr>
          <w:rFonts w:ascii="Times New Roman" w:hAnsi="Times New Roman" w:cs="Times New Roman"/>
          <w:sz w:val="28"/>
          <w:szCs w:val="28"/>
        </w:rPr>
      </w:pPr>
      <w:r w:rsidRPr="004C41FE">
        <w:rPr>
          <w:rFonts w:ascii="Times New Roman" w:hAnsi="Times New Roman" w:cs="Times New Roman"/>
          <w:sz w:val="28"/>
          <w:szCs w:val="28"/>
        </w:rPr>
        <w:t>Подключено к газу 236 квартир и домов.</w:t>
      </w: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10</w:t>
      </w:r>
    </w:p>
    <w:p w:rsidR="004C41FE" w:rsidRPr="004C41FE" w:rsidRDefault="004C41FE" w:rsidP="004C41FE">
      <w:pPr>
        <w:spacing w:after="0" w:line="240" w:lineRule="auto"/>
        <w:jc w:val="both"/>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6305550" cy="36893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C41FE">
        <w:rPr>
          <w:rFonts w:ascii="Times New Roman" w:hAnsi="Times New Roman" w:cs="Times New Roman"/>
          <w:sz w:val="26"/>
          <w:szCs w:val="26"/>
        </w:rPr>
        <w:tab/>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 xml:space="preserve">Сельское хозяйство </w:t>
      </w:r>
      <w:r w:rsidRPr="004C41FE">
        <w:rPr>
          <w:rFonts w:ascii="Times New Roman" w:hAnsi="Times New Roman" w:cs="Times New Roman"/>
          <w:sz w:val="26"/>
          <w:szCs w:val="26"/>
        </w:rPr>
        <w:t xml:space="preserve"> </w:t>
      </w:r>
      <w:r w:rsidRPr="004C41FE">
        <w:rPr>
          <w:rFonts w:ascii="Times New Roman" w:hAnsi="Times New Roman" w:cs="Times New Roman"/>
          <w:sz w:val="28"/>
          <w:szCs w:val="28"/>
        </w:rPr>
        <w:t xml:space="preserve">образует 6 основных </w:t>
      </w:r>
      <w:proofErr w:type="spellStart"/>
      <w:proofErr w:type="gramStart"/>
      <w:r w:rsidRPr="004C41FE">
        <w:rPr>
          <w:rFonts w:ascii="Times New Roman" w:hAnsi="Times New Roman" w:cs="Times New Roman"/>
          <w:sz w:val="28"/>
          <w:szCs w:val="28"/>
        </w:rPr>
        <w:t>сельско-хозяйственных</w:t>
      </w:r>
      <w:proofErr w:type="spellEnd"/>
      <w:proofErr w:type="gramEnd"/>
      <w:r w:rsidRPr="004C41FE">
        <w:rPr>
          <w:rFonts w:ascii="Times New Roman" w:hAnsi="Times New Roman" w:cs="Times New Roman"/>
          <w:sz w:val="28"/>
          <w:szCs w:val="28"/>
        </w:rPr>
        <w:t xml:space="preserve"> предприятий: КФХ «ЛУЧ», </w:t>
      </w:r>
      <w:proofErr w:type="gramStart"/>
      <w:r w:rsidRPr="004C41FE">
        <w:rPr>
          <w:rFonts w:ascii="Times New Roman" w:hAnsi="Times New Roman" w:cs="Times New Roman"/>
          <w:sz w:val="28"/>
          <w:szCs w:val="28"/>
        </w:rPr>
        <w:t>К(</w:t>
      </w:r>
      <w:proofErr w:type="gramEnd"/>
      <w:r w:rsidRPr="004C41FE">
        <w:rPr>
          <w:rFonts w:ascii="Times New Roman" w:hAnsi="Times New Roman" w:cs="Times New Roman"/>
          <w:sz w:val="28"/>
          <w:szCs w:val="28"/>
        </w:rPr>
        <w:t>Ф)Х «Молчанов А.В.», ООО «Совхоз Степной», ООО «Борисовский», ООО «Время», СПК «</w:t>
      </w:r>
      <w:proofErr w:type="spellStart"/>
      <w:r w:rsidRPr="004C41FE">
        <w:rPr>
          <w:rFonts w:ascii="Times New Roman" w:hAnsi="Times New Roman" w:cs="Times New Roman"/>
          <w:sz w:val="28"/>
          <w:szCs w:val="28"/>
        </w:rPr>
        <w:t>Коелгинское</w:t>
      </w:r>
      <w:proofErr w:type="spellEnd"/>
      <w:r w:rsidRPr="004C41FE">
        <w:rPr>
          <w:rFonts w:ascii="Times New Roman" w:hAnsi="Times New Roman" w:cs="Times New Roman"/>
          <w:sz w:val="28"/>
          <w:szCs w:val="28"/>
        </w:rPr>
        <w:t>» и более 80 мелких крестьянско- фермерских хозяйств.</w:t>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Поголовье крупного рогатого скота в 2018 году составило 1603 головы, что больше на 19 голов в 2017 году.</w:t>
      </w:r>
    </w:p>
    <w:p w:rsidR="004C41FE" w:rsidRPr="004C41FE" w:rsidRDefault="004C41FE" w:rsidP="004C41FE">
      <w:pPr>
        <w:spacing w:after="0" w:line="240" w:lineRule="auto"/>
        <w:ind w:firstLine="709"/>
        <w:jc w:val="both"/>
        <w:rPr>
          <w:rFonts w:ascii="Times New Roman" w:hAnsi="Times New Roman" w:cs="Times New Roman"/>
          <w:sz w:val="28"/>
          <w:szCs w:val="28"/>
        </w:rPr>
      </w:pPr>
      <w:r w:rsidRPr="004C41FE">
        <w:rPr>
          <w:rFonts w:ascii="Times New Roman" w:hAnsi="Times New Roman" w:cs="Times New Roman"/>
          <w:sz w:val="28"/>
          <w:szCs w:val="28"/>
        </w:rPr>
        <w:t>В 2018 году увеличилось валовое производство молока – 2887,9 тонн молока.</w:t>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 xml:space="preserve">Посевная площадь по району составила 34748 га, что на  1,3% больше к уровню 2017 года  (2017г.- 34273 га). </w:t>
      </w:r>
    </w:p>
    <w:p w:rsidR="004C41FE" w:rsidRPr="004C41FE" w:rsidRDefault="004C41FE" w:rsidP="004C41FE">
      <w:pPr>
        <w:spacing w:after="0" w:line="240" w:lineRule="auto"/>
        <w:ind w:firstLine="709"/>
        <w:jc w:val="both"/>
        <w:rPr>
          <w:rFonts w:ascii="Times New Roman" w:hAnsi="Times New Roman" w:cs="Times New Roman"/>
          <w:sz w:val="28"/>
          <w:szCs w:val="28"/>
        </w:rPr>
      </w:pPr>
      <w:r w:rsidRPr="004C41FE">
        <w:rPr>
          <w:rFonts w:ascii="Times New Roman" w:hAnsi="Times New Roman" w:cs="Times New Roman"/>
          <w:sz w:val="28"/>
          <w:szCs w:val="28"/>
        </w:rPr>
        <w:t xml:space="preserve">Картофеля  посажено на площади 260 га, что на 2% больше 2017 года. Валовый сбор в текущем году увеличился на 270 тонн и составил 4365 тонн. Урожайность – 168 </w:t>
      </w:r>
      <w:proofErr w:type="spellStart"/>
      <w:r w:rsidRPr="004C41FE">
        <w:rPr>
          <w:rFonts w:ascii="Times New Roman" w:hAnsi="Times New Roman" w:cs="Times New Roman"/>
          <w:sz w:val="28"/>
          <w:szCs w:val="28"/>
        </w:rPr>
        <w:t>ц</w:t>
      </w:r>
      <w:proofErr w:type="spellEnd"/>
      <w:r w:rsidRPr="004C41FE">
        <w:rPr>
          <w:rFonts w:ascii="Times New Roman" w:hAnsi="Times New Roman" w:cs="Times New Roman"/>
          <w:sz w:val="28"/>
          <w:szCs w:val="28"/>
        </w:rPr>
        <w:t xml:space="preserve">/га, что больше на 7,0 </w:t>
      </w:r>
      <w:proofErr w:type="spellStart"/>
      <w:r w:rsidRPr="004C41FE">
        <w:rPr>
          <w:rFonts w:ascii="Times New Roman" w:hAnsi="Times New Roman" w:cs="Times New Roman"/>
          <w:sz w:val="28"/>
          <w:szCs w:val="28"/>
        </w:rPr>
        <w:t>ц</w:t>
      </w:r>
      <w:proofErr w:type="spellEnd"/>
      <w:r w:rsidRPr="004C41FE">
        <w:rPr>
          <w:rFonts w:ascii="Times New Roman" w:hAnsi="Times New Roman" w:cs="Times New Roman"/>
          <w:sz w:val="28"/>
          <w:szCs w:val="28"/>
        </w:rPr>
        <w:t xml:space="preserve">/га. </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Обработано залежных земель в 2018 году – 695 га.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lastRenderedPageBreak/>
        <w:t>В районе хозяйствами  было приобретено 12 единиц новой техники, в том числе: 2 комбайна, 1 трактор, 2 плуга, 1 сеялка  и  др. техника.</w:t>
      </w:r>
    </w:p>
    <w:p w:rsidR="004C41FE" w:rsidRPr="004C41FE" w:rsidRDefault="004C41FE" w:rsidP="004C41FE">
      <w:pPr>
        <w:spacing w:after="0" w:line="240" w:lineRule="auto"/>
        <w:ind w:firstLine="851"/>
        <w:jc w:val="both"/>
        <w:rPr>
          <w:rFonts w:ascii="Times New Roman" w:hAnsi="Times New Roman" w:cs="Times New Roman"/>
          <w:sz w:val="28"/>
          <w:szCs w:val="28"/>
        </w:rPr>
      </w:pP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11</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36"/>
          <w:szCs w:val="36"/>
        </w:rPr>
        <w:t xml:space="preserve"> </w:t>
      </w:r>
      <w:r w:rsidRPr="004C41FE">
        <w:rPr>
          <w:rFonts w:ascii="Times New Roman" w:hAnsi="Times New Roman" w:cs="Times New Roman"/>
          <w:noProof/>
          <w:sz w:val="28"/>
          <w:szCs w:val="28"/>
        </w:rPr>
        <w:drawing>
          <wp:inline distT="0" distB="0" distL="0" distR="0">
            <wp:extent cx="5510530" cy="2456815"/>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12</w:t>
      </w:r>
    </w:p>
    <w:p w:rsidR="004C41FE" w:rsidRPr="004C41FE" w:rsidRDefault="004C41FE" w:rsidP="004C41FE">
      <w:pPr>
        <w:spacing w:after="0" w:line="240" w:lineRule="auto"/>
        <w:jc w:val="center"/>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5645150" cy="359410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 xml:space="preserve">Малый бизнес.  В районе работает 615 субъектов малого и среднего бизнеса. </w:t>
      </w:r>
    </w:p>
    <w:p w:rsidR="004C41FE" w:rsidRPr="004C41FE" w:rsidRDefault="004C41FE" w:rsidP="004C41FE">
      <w:pPr>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sz w:val="28"/>
          <w:szCs w:val="28"/>
        </w:rPr>
        <w:t>Малый бизнес не только существенно пополняет бюджет района, но и решает проблему удовлетворения потребностей населения и занятости. Сегодня - это более 18% доходов районного бюджета, 30% работающих.</w:t>
      </w:r>
    </w:p>
    <w:p w:rsidR="004C41FE" w:rsidRPr="004C41FE" w:rsidRDefault="004C41FE" w:rsidP="004C41FE">
      <w:pPr>
        <w:spacing w:after="0" w:line="240" w:lineRule="auto"/>
        <w:ind w:firstLine="708"/>
        <w:jc w:val="both"/>
        <w:rPr>
          <w:rFonts w:ascii="Times New Roman" w:hAnsi="Times New Roman" w:cs="Times New Roman"/>
          <w:bCs/>
          <w:sz w:val="28"/>
          <w:szCs w:val="28"/>
        </w:rPr>
      </w:pPr>
      <w:r w:rsidRPr="004C41FE">
        <w:rPr>
          <w:rFonts w:ascii="Times New Roman" w:hAnsi="Times New Roman" w:cs="Times New Roman"/>
          <w:sz w:val="28"/>
          <w:szCs w:val="28"/>
        </w:rPr>
        <w:t>В рамках муниципальной программы п</w:t>
      </w:r>
      <w:r w:rsidRPr="004C41FE">
        <w:rPr>
          <w:rFonts w:ascii="Times New Roman" w:hAnsi="Times New Roman" w:cs="Times New Roman"/>
          <w:bCs/>
          <w:sz w:val="28"/>
          <w:szCs w:val="28"/>
        </w:rPr>
        <w:t>редпринимателям оказана информационная, консультационная, административно-организационная  поддержка: проведено 8 семинаров и 3 круглых стола  с участием представителей  контрольно-надзорных  органов власти.</w:t>
      </w:r>
    </w:p>
    <w:p w:rsidR="004C41FE" w:rsidRPr="004C41FE" w:rsidRDefault="004C41FE" w:rsidP="004C41FE">
      <w:pPr>
        <w:spacing w:after="0" w:line="240" w:lineRule="auto"/>
        <w:ind w:firstLine="851"/>
        <w:jc w:val="both"/>
        <w:rPr>
          <w:rFonts w:ascii="Times New Roman" w:hAnsi="Times New Roman" w:cs="Times New Roman"/>
          <w:bCs/>
          <w:sz w:val="28"/>
          <w:szCs w:val="28"/>
        </w:rPr>
      </w:pPr>
      <w:r w:rsidRPr="004C41FE">
        <w:rPr>
          <w:rFonts w:ascii="Times New Roman" w:hAnsi="Times New Roman" w:cs="Times New Roman"/>
          <w:bCs/>
          <w:sz w:val="28"/>
          <w:szCs w:val="28"/>
        </w:rPr>
        <w:lastRenderedPageBreak/>
        <w:t xml:space="preserve">В честь празднования Дня российского предпринимательства в 2018 году проведен 9-й съезд предпринимателей. </w:t>
      </w:r>
    </w:p>
    <w:p w:rsidR="004C41FE" w:rsidRPr="004C41FE" w:rsidRDefault="004C41FE" w:rsidP="004C41FE">
      <w:pPr>
        <w:spacing w:after="0" w:line="240" w:lineRule="auto"/>
        <w:ind w:firstLine="851"/>
        <w:jc w:val="both"/>
        <w:rPr>
          <w:rFonts w:ascii="Times New Roman" w:hAnsi="Times New Roman" w:cs="Times New Roman"/>
          <w:bCs/>
          <w:sz w:val="28"/>
          <w:szCs w:val="28"/>
        </w:rPr>
      </w:pPr>
      <w:r w:rsidRPr="004C41FE">
        <w:rPr>
          <w:rFonts w:ascii="Times New Roman" w:hAnsi="Times New Roman" w:cs="Times New Roman"/>
          <w:bCs/>
          <w:sz w:val="28"/>
          <w:szCs w:val="28"/>
        </w:rPr>
        <w:t>Обеспечено выполнение требования Федерального закона о минимальной доле закупок у субъектов малого предпринимательства в совокупном годовом объеме закупок, рассчитанном с учетом требований части 1.1 статьи 30 (не менее 15%). Так, в Пластовском муниципальном районе доля закупок у субъектов малого предпринимательства за 2018 год составила 30%.</w:t>
      </w:r>
    </w:p>
    <w:p w:rsidR="004C41FE" w:rsidRPr="004C41FE" w:rsidRDefault="004C41FE" w:rsidP="004C41FE">
      <w:pPr>
        <w:pStyle w:val="ConsPlusNormal"/>
        <w:widowControl/>
        <w:ind w:firstLine="539"/>
        <w:jc w:val="both"/>
        <w:outlineLvl w:val="0"/>
        <w:rPr>
          <w:rFonts w:ascii="Times New Roman" w:hAnsi="Times New Roman" w:cs="Times New Roman"/>
          <w:sz w:val="28"/>
          <w:szCs w:val="28"/>
        </w:rPr>
      </w:pPr>
      <w:r w:rsidRPr="004C41FE">
        <w:rPr>
          <w:rFonts w:ascii="Times New Roman" w:hAnsi="Times New Roman" w:cs="Times New Roman"/>
          <w:sz w:val="28"/>
          <w:szCs w:val="28"/>
        </w:rPr>
        <w:t xml:space="preserve">В районе и поселениях утверждены перечни муниципального недвижимого имущества, предназначенного для передачи в пользование субъектам малого и среднего предпринимательства, который актуализируется по мере необходимости. </w:t>
      </w:r>
    </w:p>
    <w:p w:rsidR="004C41FE" w:rsidRPr="004C41FE" w:rsidRDefault="004C41FE" w:rsidP="004C41FE">
      <w:pPr>
        <w:pStyle w:val="ConsPlusNormal"/>
        <w:widowControl/>
        <w:ind w:firstLine="539"/>
        <w:jc w:val="both"/>
        <w:outlineLvl w:val="0"/>
        <w:rPr>
          <w:rFonts w:ascii="Times New Roman" w:hAnsi="Times New Roman" w:cs="Times New Roman"/>
          <w:sz w:val="28"/>
          <w:szCs w:val="28"/>
        </w:rPr>
      </w:pPr>
      <w:r w:rsidRPr="004C41FE">
        <w:rPr>
          <w:rFonts w:ascii="Times New Roman" w:hAnsi="Times New Roman" w:cs="Times New Roman"/>
          <w:sz w:val="28"/>
          <w:szCs w:val="28"/>
        </w:rPr>
        <w:t>В перечни на сегодняшний день включены 22 объекта.</w:t>
      </w:r>
    </w:p>
    <w:p w:rsidR="004C41FE" w:rsidRPr="004C41FE" w:rsidRDefault="004C41FE" w:rsidP="004C41FE">
      <w:pPr>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По итогам 2018 года Пластовский муниципальный район занял 2 место в рейтинге по достижению показателей целевой модели «Постановка на государственный кадастровый учет земельных участков и объектов недвижимого имущества».</w:t>
      </w:r>
    </w:p>
    <w:p w:rsidR="004C41FE" w:rsidRPr="004C41FE" w:rsidRDefault="004C41FE" w:rsidP="004C41FE">
      <w:pPr>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13</w:t>
      </w: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sz w:val="28"/>
          <w:szCs w:val="28"/>
        </w:rPr>
        <w:t>Направления деятельности в общем объеме малого и среднего бизнеса</w:t>
      </w:r>
    </w:p>
    <w:p w:rsidR="004C41FE" w:rsidRPr="004C41FE" w:rsidRDefault="004C41FE" w:rsidP="004C41FE">
      <w:pPr>
        <w:spacing w:after="0" w:line="240" w:lineRule="auto"/>
        <w:jc w:val="center"/>
        <w:rPr>
          <w:rFonts w:ascii="Times New Roman" w:hAnsi="Times New Roman" w:cs="Times New Roman"/>
          <w:sz w:val="28"/>
          <w:szCs w:val="28"/>
        </w:rPr>
      </w:pPr>
      <w:r w:rsidRPr="004C41FE">
        <w:rPr>
          <w:rFonts w:ascii="Times New Roman" w:hAnsi="Times New Roman" w:cs="Times New Roman"/>
          <w:noProof/>
          <w:sz w:val="28"/>
          <w:szCs w:val="28"/>
        </w:rPr>
        <w:drawing>
          <wp:inline distT="0" distB="0" distL="0" distR="0">
            <wp:extent cx="5001260" cy="186055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41FE" w:rsidRPr="004C41FE" w:rsidRDefault="004C41FE" w:rsidP="004C41FE">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4C41FE">
        <w:rPr>
          <w:rFonts w:ascii="Times New Roman" w:hAnsi="Times New Roman" w:cs="Times New Roman"/>
          <w:sz w:val="28"/>
          <w:szCs w:val="28"/>
        </w:rPr>
        <w:t>Потребительский рынок. Потребительский рынок в настоящее время характеризуется стабильностью, устойчивостью, высокой степенью товарной насыщенности и положительной динамикой развития. Торговые предприятия обеспечивают спрос покупателей на продукты питания и промышленные изделия</w:t>
      </w:r>
    </w:p>
    <w:p w:rsidR="004C41FE" w:rsidRPr="004C41FE" w:rsidRDefault="004C41FE" w:rsidP="004C41FE">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C41FE">
        <w:rPr>
          <w:rFonts w:ascii="Times New Roman" w:hAnsi="Times New Roman" w:cs="Times New Roman"/>
          <w:sz w:val="28"/>
          <w:szCs w:val="28"/>
        </w:rPr>
        <w:t xml:space="preserve">На протяжении последних лет динамичными темпами развивалась сеть торговых объектов, объектов бытового обслуживания и общественного питания, что положительно сказалось на выполнении нормативов государственных социальных стандартов. </w:t>
      </w:r>
    </w:p>
    <w:p w:rsidR="004C41FE" w:rsidRPr="004C41FE" w:rsidRDefault="004C41FE" w:rsidP="004C41FE">
      <w:pPr>
        <w:spacing w:after="0" w:line="240" w:lineRule="auto"/>
        <w:ind w:firstLine="539"/>
        <w:jc w:val="both"/>
        <w:rPr>
          <w:rFonts w:ascii="Times New Roman" w:hAnsi="Times New Roman" w:cs="Times New Roman"/>
          <w:sz w:val="28"/>
          <w:szCs w:val="28"/>
        </w:rPr>
      </w:pPr>
      <w:r w:rsidRPr="004C41FE">
        <w:rPr>
          <w:rFonts w:ascii="Times New Roman" w:hAnsi="Times New Roman" w:cs="Times New Roman"/>
          <w:sz w:val="28"/>
          <w:szCs w:val="28"/>
        </w:rPr>
        <w:t>На потребительском рынке Пластовского муниципального района по состоянию на 1 января 2019 года осуществляют деятельность 211 предприятий розничной торговли, общая площадь составляет 31254,98 кв.м., торговая площадь 21606,16 кв.м.</w:t>
      </w:r>
    </w:p>
    <w:p w:rsidR="004C41FE" w:rsidRPr="004C41FE" w:rsidRDefault="004C41FE" w:rsidP="004C41FE">
      <w:pPr>
        <w:spacing w:after="0" w:line="240" w:lineRule="auto"/>
        <w:jc w:val="both"/>
        <w:rPr>
          <w:rFonts w:ascii="Times New Roman" w:hAnsi="Times New Roman" w:cs="Times New Roman"/>
          <w:sz w:val="28"/>
          <w:szCs w:val="28"/>
        </w:rPr>
      </w:pPr>
      <w:r w:rsidRPr="004C41FE">
        <w:rPr>
          <w:rFonts w:ascii="Times New Roman" w:hAnsi="Times New Roman" w:cs="Times New Roman"/>
          <w:sz w:val="28"/>
          <w:szCs w:val="28"/>
        </w:rPr>
        <w:tab/>
        <w:t xml:space="preserve">Состояние розничной торговой сети оценивается уровнем обеспеченности населения торговыми площадями. Показатели обеспеченности населения района торговыми площадями составляют 860 кв.м. на 1 тысячу жителей, что в 2 раза выше установленного норматива </w:t>
      </w:r>
      <w:r w:rsidRPr="004C41FE">
        <w:rPr>
          <w:rFonts w:ascii="Times New Roman" w:hAnsi="Times New Roman" w:cs="Times New Roman"/>
          <w:sz w:val="28"/>
          <w:szCs w:val="28"/>
        </w:rPr>
        <w:lastRenderedPageBreak/>
        <w:t>(409,31 кв.м.)  в соответствии с требованиями постановления Правительства Челябинской области от 20.12.2016 г. №682-П «О нормативах минимальной обеспеченности населения площадью торговых объектов для Челябинской области».</w:t>
      </w:r>
    </w:p>
    <w:p w:rsidR="004C41FE" w:rsidRPr="004C41FE" w:rsidRDefault="004C41FE" w:rsidP="004C41FE">
      <w:pPr>
        <w:spacing w:after="0" w:line="240" w:lineRule="auto"/>
        <w:jc w:val="right"/>
        <w:rPr>
          <w:rFonts w:ascii="Times New Roman" w:hAnsi="Times New Roman" w:cs="Times New Roman"/>
          <w:sz w:val="28"/>
          <w:szCs w:val="28"/>
        </w:rPr>
      </w:pPr>
      <w:r w:rsidRPr="004C41FE">
        <w:rPr>
          <w:rFonts w:ascii="Times New Roman" w:hAnsi="Times New Roman" w:cs="Times New Roman"/>
        </w:rPr>
        <w:t>Диаграмма 14</w:t>
      </w:r>
    </w:p>
    <w:p w:rsidR="004C41FE" w:rsidRPr="004C41FE" w:rsidRDefault="004C41FE" w:rsidP="004C41FE">
      <w:pPr>
        <w:widowControl w:val="0"/>
        <w:autoSpaceDE w:val="0"/>
        <w:autoSpaceDN w:val="0"/>
        <w:adjustRightInd w:val="0"/>
        <w:spacing w:after="0" w:line="240" w:lineRule="auto"/>
        <w:jc w:val="both"/>
        <w:rPr>
          <w:rFonts w:ascii="Times New Roman" w:hAnsi="Times New Roman" w:cs="Times New Roman"/>
          <w:sz w:val="26"/>
          <w:szCs w:val="26"/>
        </w:rPr>
      </w:pPr>
      <w:r w:rsidRPr="004C41FE">
        <w:rPr>
          <w:rFonts w:ascii="Times New Roman" w:hAnsi="Times New Roman" w:cs="Times New Roman"/>
          <w:noProof/>
          <w:sz w:val="26"/>
          <w:szCs w:val="26"/>
        </w:rPr>
        <w:drawing>
          <wp:inline distT="0" distB="0" distL="0" distR="0">
            <wp:extent cx="6297295" cy="399161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41FE" w:rsidRPr="004C41FE" w:rsidRDefault="004C41FE" w:rsidP="004C41FE">
      <w:pPr>
        <w:spacing w:after="0" w:line="240" w:lineRule="auto"/>
        <w:ind w:firstLine="539"/>
        <w:jc w:val="both"/>
        <w:rPr>
          <w:rFonts w:ascii="Times New Roman" w:hAnsi="Times New Roman" w:cs="Times New Roman"/>
          <w:sz w:val="28"/>
          <w:szCs w:val="28"/>
        </w:rPr>
      </w:pPr>
      <w:r w:rsidRPr="004C41FE">
        <w:rPr>
          <w:rFonts w:ascii="Times New Roman" w:hAnsi="Times New Roman" w:cs="Times New Roman"/>
          <w:sz w:val="28"/>
          <w:szCs w:val="28"/>
        </w:rPr>
        <w:t>В Пластовском районе достаточно развит сегмент по оказанию услуг общественного питания населению.</w:t>
      </w:r>
    </w:p>
    <w:p w:rsidR="004C41FE" w:rsidRPr="004C41FE" w:rsidRDefault="004C41FE" w:rsidP="004C41FE">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4C41FE">
        <w:rPr>
          <w:rFonts w:ascii="Times New Roman" w:hAnsi="Times New Roman" w:cs="Times New Roman"/>
          <w:sz w:val="28"/>
          <w:szCs w:val="28"/>
        </w:rPr>
        <w:tab/>
        <w:t>На  1 января 2019 года  осуществляют деятельность 22 объекта общественного питания общедоступной (открытой) сети на 881 посадочное место, в том числе 3 ресторана, 17 кафе и 2 столовые. Обеспеченность местами в общедоступных объектах общественного питания на 1000 жителей  – 35 мест.</w:t>
      </w:r>
    </w:p>
    <w:p w:rsidR="004C41FE" w:rsidRPr="004C41FE" w:rsidRDefault="004C41FE" w:rsidP="004C41FE">
      <w:pPr>
        <w:widowControl w:val="0"/>
        <w:autoSpaceDE w:val="0"/>
        <w:autoSpaceDN w:val="0"/>
        <w:adjustRightInd w:val="0"/>
        <w:spacing w:after="0" w:line="240" w:lineRule="auto"/>
        <w:ind w:firstLine="851"/>
        <w:jc w:val="right"/>
        <w:rPr>
          <w:rFonts w:ascii="Times New Roman" w:hAnsi="Times New Roman" w:cs="Times New Roman"/>
        </w:rPr>
      </w:pPr>
      <w:r w:rsidRPr="004C41FE">
        <w:rPr>
          <w:rFonts w:ascii="Times New Roman" w:hAnsi="Times New Roman" w:cs="Times New Roman"/>
        </w:rPr>
        <w:t>Диаграмма 15</w:t>
      </w:r>
    </w:p>
    <w:p w:rsidR="004C41FE" w:rsidRPr="004C41FE" w:rsidRDefault="004C41FE" w:rsidP="004C41FE">
      <w:pPr>
        <w:widowControl w:val="0"/>
        <w:autoSpaceDE w:val="0"/>
        <w:autoSpaceDN w:val="0"/>
        <w:adjustRightInd w:val="0"/>
        <w:spacing w:after="0" w:line="240" w:lineRule="auto"/>
        <w:jc w:val="both"/>
        <w:rPr>
          <w:rFonts w:ascii="Times New Roman" w:hAnsi="Times New Roman" w:cs="Times New Roman"/>
          <w:color w:val="FF0000"/>
          <w:sz w:val="28"/>
          <w:szCs w:val="28"/>
        </w:rPr>
      </w:pPr>
      <w:r w:rsidRPr="004C41FE">
        <w:rPr>
          <w:rFonts w:ascii="Times New Roman" w:hAnsi="Times New Roman" w:cs="Times New Roman"/>
          <w:noProof/>
          <w:color w:val="FF0000"/>
          <w:sz w:val="28"/>
          <w:szCs w:val="28"/>
        </w:rPr>
        <w:lastRenderedPageBreak/>
        <w:drawing>
          <wp:inline distT="0" distB="0" distL="0" distR="0">
            <wp:extent cx="6202045" cy="3235960"/>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C41FE">
        <w:rPr>
          <w:rFonts w:ascii="Times New Roman" w:hAnsi="Times New Roman" w:cs="Times New Roman"/>
          <w:color w:val="FF0000"/>
          <w:sz w:val="28"/>
          <w:szCs w:val="28"/>
        </w:rPr>
        <w:t xml:space="preserve">            </w:t>
      </w:r>
    </w:p>
    <w:p w:rsidR="004C41FE" w:rsidRPr="004C41FE" w:rsidRDefault="004C41FE" w:rsidP="004C41FE">
      <w:pPr>
        <w:spacing w:after="0" w:line="240" w:lineRule="auto"/>
        <w:ind w:firstLine="720"/>
        <w:jc w:val="both"/>
        <w:rPr>
          <w:rFonts w:ascii="Times New Roman" w:hAnsi="Times New Roman" w:cs="Times New Roman"/>
        </w:rPr>
      </w:pPr>
      <w:r w:rsidRPr="004C41FE">
        <w:rPr>
          <w:rFonts w:ascii="Times New Roman" w:hAnsi="Times New Roman" w:cs="Times New Roman"/>
          <w:color w:val="000000"/>
          <w:sz w:val="28"/>
          <w:szCs w:val="28"/>
        </w:rPr>
        <w:t>Бытовые услуги в районе оказываются по 14 видам.</w:t>
      </w:r>
      <w:r w:rsidRPr="004C41FE">
        <w:rPr>
          <w:rFonts w:ascii="Times New Roman" w:hAnsi="Times New Roman" w:cs="Times New Roman"/>
          <w:color w:val="000000"/>
        </w:rPr>
        <w:t> </w:t>
      </w:r>
      <w:r w:rsidRPr="004C41FE">
        <w:rPr>
          <w:rFonts w:ascii="Times New Roman" w:hAnsi="Times New Roman" w:cs="Times New Roman"/>
          <w:color w:val="000000"/>
          <w:sz w:val="28"/>
          <w:szCs w:val="28"/>
        </w:rPr>
        <w:t xml:space="preserve">Наибольший удельный вес в разрезе видов оказываемых услуг жителям района приходится на парикмахерские услуги (27,3 процента), техническое обслуживание и ремонт автотранспортных средств (19,5 процентов), ремонт обуви, ремонт и пошив одежды (13 процентов), транспортно-экспедиторские </w:t>
      </w:r>
      <w:r w:rsidRPr="004C41FE">
        <w:rPr>
          <w:rFonts w:ascii="Times New Roman" w:hAnsi="Times New Roman" w:cs="Times New Roman"/>
          <w:sz w:val="28"/>
          <w:szCs w:val="28"/>
        </w:rPr>
        <w:t>услуги (7,8 процентов).</w:t>
      </w:r>
      <w:r w:rsidRPr="004C41FE">
        <w:rPr>
          <w:rFonts w:ascii="Times New Roman" w:hAnsi="Times New Roman" w:cs="Times New Roman"/>
        </w:rPr>
        <w:t> </w:t>
      </w:r>
    </w:p>
    <w:p w:rsidR="004C41FE" w:rsidRPr="004C41FE" w:rsidRDefault="004C41FE" w:rsidP="004C41FE">
      <w:pPr>
        <w:spacing w:after="0" w:line="240" w:lineRule="auto"/>
        <w:ind w:firstLine="720"/>
        <w:jc w:val="both"/>
        <w:rPr>
          <w:rFonts w:ascii="Times New Roman" w:hAnsi="Times New Roman" w:cs="Times New Roman"/>
          <w:sz w:val="28"/>
          <w:szCs w:val="28"/>
        </w:rPr>
      </w:pPr>
      <w:proofErr w:type="gramStart"/>
      <w:r w:rsidRPr="004C41FE">
        <w:rPr>
          <w:rFonts w:ascii="Times New Roman" w:hAnsi="Times New Roman" w:cs="Times New Roman"/>
          <w:sz w:val="28"/>
          <w:szCs w:val="28"/>
        </w:rPr>
        <w:t>Бытовое обслуживание населения Пластовского муниципального района осуществляют 77 предприятий различной производственной направленности: из них  4 мебельных цеха, 21 объект по предоставлению услуг парикмахерскими и салонами красоты, 4 предприятия по оказанию ритуальных услуг, принадлежащих индивидуальным предпринимателям и 1 ПМ ПОМКХ, 1 – по оказанию банных услуг, 10 мастерских по ремонту обуви, ремонту и пошиву одежды, 15 – по техническому обслуживанию и ремонту автотранспортных</w:t>
      </w:r>
      <w:proofErr w:type="gramEnd"/>
      <w:r w:rsidRPr="004C41FE">
        <w:rPr>
          <w:rFonts w:ascii="Times New Roman" w:hAnsi="Times New Roman" w:cs="Times New Roman"/>
          <w:sz w:val="28"/>
          <w:szCs w:val="28"/>
        </w:rPr>
        <w:t xml:space="preserve"> средств, 2 – по ремонту  и обслуживанию бытовой техники и радиоэлектронной аппаратуры, 3 фотоателье, 1 ювелирная мастерская и др.</w:t>
      </w:r>
    </w:p>
    <w:p w:rsidR="004C41FE" w:rsidRPr="004C41FE" w:rsidRDefault="004C41FE" w:rsidP="004C41F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4C41FE">
        <w:rPr>
          <w:rFonts w:ascii="Times New Roman" w:hAnsi="Times New Roman" w:cs="Times New Roman"/>
          <w:color w:val="000000"/>
          <w:sz w:val="28"/>
          <w:szCs w:val="28"/>
          <w:shd w:val="clear" w:color="auto" w:fill="FFFFFF"/>
        </w:rPr>
        <w:t xml:space="preserve">Одним из факторов, сдерживающих увеличение объемов бытового обслуживания, является наличие теневого рынка услуг, таких как </w:t>
      </w:r>
      <w:r w:rsidRPr="004C41FE">
        <w:rPr>
          <w:rFonts w:ascii="Times New Roman" w:hAnsi="Times New Roman" w:cs="Times New Roman"/>
          <w:color w:val="FF0000"/>
          <w:sz w:val="28"/>
          <w:szCs w:val="28"/>
        </w:rPr>
        <w:t xml:space="preserve"> </w:t>
      </w:r>
      <w:r w:rsidRPr="004C41FE">
        <w:rPr>
          <w:rFonts w:ascii="Times New Roman" w:hAnsi="Times New Roman" w:cs="Times New Roman"/>
          <w:sz w:val="28"/>
          <w:szCs w:val="28"/>
        </w:rPr>
        <w:t>услуг по ремонту жилья и электромонтажных  работ и др.</w:t>
      </w:r>
    </w:p>
    <w:p w:rsidR="004C41FE" w:rsidRPr="004C41FE" w:rsidRDefault="004C41FE" w:rsidP="004C41FE">
      <w:pPr>
        <w:widowControl w:val="0"/>
        <w:autoSpaceDE w:val="0"/>
        <w:autoSpaceDN w:val="0"/>
        <w:adjustRightInd w:val="0"/>
        <w:spacing w:after="0" w:line="240" w:lineRule="auto"/>
        <w:ind w:firstLine="708"/>
        <w:jc w:val="both"/>
        <w:rPr>
          <w:rFonts w:ascii="Times New Roman" w:hAnsi="Times New Roman" w:cs="Times New Roman"/>
          <w:sz w:val="28"/>
          <w:szCs w:val="28"/>
        </w:rPr>
      </w:pPr>
    </w:p>
    <w:p w:rsidR="006E094A" w:rsidRPr="004C41FE" w:rsidRDefault="004C41FE" w:rsidP="004C41FE">
      <w:pPr>
        <w:spacing w:after="0" w:line="240" w:lineRule="auto"/>
        <w:rPr>
          <w:rFonts w:ascii="Times New Roman" w:hAnsi="Times New Roman" w:cs="Times New Roman"/>
        </w:rPr>
      </w:pPr>
      <w:r w:rsidRPr="004C41FE">
        <w:rPr>
          <w:rFonts w:ascii="Times New Roman" w:hAnsi="Times New Roman" w:cs="Times New Roman"/>
        </w:rPr>
        <w:lastRenderedPageBreak/>
        <w:t>Диаграмма 16</w:t>
      </w:r>
      <w:r w:rsidRPr="004C41FE">
        <w:rPr>
          <w:rFonts w:ascii="Times New Roman" w:hAnsi="Times New Roman" w:cs="Times New Roman"/>
          <w:sz w:val="28"/>
          <w:szCs w:val="28"/>
        </w:rPr>
        <w:t xml:space="preserve"> </w:t>
      </w:r>
      <w:r w:rsidRPr="004C41FE">
        <w:rPr>
          <w:rFonts w:ascii="Times New Roman" w:hAnsi="Times New Roman" w:cs="Times New Roman"/>
          <w:noProof/>
          <w:sz w:val="26"/>
          <w:szCs w:val="26"/>
        </w:rPr>
        <w:drawing>
          <wp:inline distT="0" distB="0" distL="0" distR="0">
            <wp:extent cx="6337300" cy="350647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sectPr w:rsidR="006E094A" w:rsidRPr="004C41FE">
      <w:headerReference w:type="even" r:id="rId24"/>
      <w:footerReference w:type="even" r:id="rId25"/>
      <w:footerReference w:type="default" r:id="rId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MS Mincho"/>
    <w:panose1 w:val="00000000000000000000"/>
    <w:charset w:val="80"/>
    <w:family w:val="auto"/>
    <w:notTrueType/>
    <w:pitch w:val="default"/>
    <w:sig w:usb0="00000000" w:usb1="08070000" w:usb2="00000010" w:usb3="00000000" w:csb0="0002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92" w:rsidRDefault="006E094A" w:rsidP="00A3098E">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80892" w:rsidRDefault="006E094A" w:rsidP="00A3098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92" w:rsidRDefault="006E094A" w:rsidP="00A3098E">
    <w:pPr>
      <w:pStyle w:val="a8"/>
      <w:framePr w:wrap="around" w:vAnchor="text" w:hAnchor="margin" w:xAlign="right" w:y="1"/>
      <w:rPr>
        <w:rStyle w:val="a5"/>
      </w:rPr>
    </w:pPr>
  </w:p>
  <w:p w:rsidR="00180892" w:rsidRPr="000C1C52" w:rsidRDefault="006E094A" w:rsidP="00A3098E">
    <w:pPr>
      <w:pStyle w:val="a8"/>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892" w:rsidRDefault="006E094A">
    <w:pPr>
      <w:pStyle w:val="a3"/>
    </w:pPr>
    <w:r>
      <w:fldChar w:fldCharType="begin"/>
    </w:r>
    <w:r>
      <w:instrText xml:space="preserve"> DATE \@ "dd.MM.yyyy" </w:instrText>
    </w:r>
    <w:r>
      <w:fldChar w:fldCharType="separate"/>
    </w:r>
    <w:r>
      <w:rPr>
        <w:noProof/>
      </w:rPr>
      <w:t>09.10.2019</w:t>
    </w:r>
    <w:r>
      <w:fldChar w:fldCharType="end"/>
    </w:r>
    <w:r>
      <w:fldChar w:fldCharType="begin"/>
    </w:r>
    <w:r>
      <w:instrText xml:space="preserve"> DATE \@ "dd.MM.yyyy" </w:instrText>
    </w:r>
    <w:r>
      <w:fldChar w:fldCharType="separate"/>
    </w:r>
    <w:r>
      <w:rPr>
        <w:noProof/>
      </w:rPr>
      <w:t>09.10.2019</w:t>
    </w:r>
    <w:r>
      <w:fldChar w:fldCharType="end"/>
    </w:r>
    <w:r>
      <w:fldChar w:fldCharType="begin"/>
    </w:r>
    <w:r>
      <w:instrText xml:space="preserve"> DATE \@ "dd.MM.yyyy" </w:instrText>
    </w:r>
    <w:r>
      <w:fldChar w:fldCharType="separate"/>
    </w:r>
    <w:r>
      <w:rPr>
        <w:noProof/>
      </w:rPr>
      <w:t>09.10.2019</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3A310C"/>
    <w:lvl w:ilvl="0">
      <w:numFmt w:val="bullet"/>
      <w:lvlText w:val="*"/>
      <w:lvlJc w:val="left"/>
    </w:lvl>
  </w:abstractNum>
  <w:abstractNum w:abstractNumId="1">
    <w:nsid w:val="0000000B"/>
    <w:multiLevelType w:val="singleLevel"/>
    <w:tmpl w:val="0000000B"/>
    <w:name w:val="WW8Num24"/>
    <w:lvl w:ilvl="0">
      <w:start w:val="1"/>
      <w:numFmt w:val="bullet"/>
      <w:lvlText w:val="-"/>
      <w:lvlJc w:val="left"/>
      <w:pPr>
        <w:tabs>
          <w:tab w:val="num" w:pos="360"/>
        </w:tabs>
        <w:ind w:left="360" w:hanging="360"/>
      </w:pPr>
      <w:rPr>
        <w:rFonts w:ascii="StarSymbol" w:hAnsi="StarSymbol"/>
      </w:rPr>
    </w:lvl>
  </w:abstractNum>
  <w:abstractNum w:abstractNumId="2">
    <w:nsid w:val="259872D0"/>
    <w:multiLevelType w:val="hybridMultilevel"/>
    <w:tmpl w:val="F57EA4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DE47F5"/>
    <w:multiLevelType w:val="singleLevel"/>
    <w:tmpl w:val="A99C7482"/>
    <w:lvl w:ilvl="0">
      <w:start w:val="1"/>
      <w:numFmt w:val="decimal"/>
      <w:lvlText w:val="%1)"/>
      <w:legacy w:legacy="1" w:legacySpace="0" w:legacyIndent="287"/>
      <w:lvlJc w:val="left"/>
      <w:rPr>
        <w:rFonts w:ascii="Times New Roman" w:hAnsi="Times New Roman" w:cs="Times New Roman" w:hint="default"/>
      </w:rPr>
    </w:lvl>
  </w:abstractNum>
  <w:abstractNum w:abstractNumId="4">
    <w:nsid w:val="43391F58"/>
    <w:multiLevelType w:val="hybridMultilevel"/>
    <w:tmpl w:val="98F438F8"/>
    <w:lvl w:ilvl="0" w:tplc="EC0C0982">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4C41FE"/>
    <w:rsid w:val="004C41FE"/>
    <w:rsid w:val="006E094A"/>
    <w:rsid w:val="00723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4C41FE"/>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C41FE"/>
    <w:rPr>
      <w:rFonts w:ascii="Calibri" w:eastAsia="Times New Roman" w:hAnsi="Calibri" w:cs="Times New Roman"/>
      <w:b/>
      <w:bCs/>
      <w:sz w:val="28"/>
      <w:szCs w:val="28"/>
      <w:lang w:eastAsia="ar-SA"/>
    </w:rPr>
  </w:style>
  <w:style w:type="paragraph" w:styleId="a3">
    <w:name w:val="header"/>
    <w:basedOn w:val="a"/>
    <w:link w:val="a4"/>
    <w:rsid w:val="004C41FE"/>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4C41FE"/>
    <w:rPr>
      <w:rFonts w:ascii="Times New Roman" w:eastAsia="Times New Roman" w:hAnsi="Times New Roman" w:cs="Times New Roman"/>
      <w:sz w:val="20"/>
      <w:szCs w:val="20"/>
    </w:rPr>
  </w:style>
  <w:style w:type="character" w:styleId="a5">
    <w:name w:val="page number"/>
    <w:basedOn w:val="a0"/>
    <w:rsid w:val="004C41FE"/>
  </w:style>
  <w:style w:type="paragraph" w:styleId="a6">
    <w:name w:val="Body Text"/>
    <w:basedOn w:val="a"/>
    <w:link w:val="a7"/>
    <w:rsid w:val="004C41FE"/>
    <w:pPr>
      <w:suppressAutoHyphens/>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4C41FE"/>
    <w:rPr>
      <w:rFonts w:ascii="Times New Roman" w:eastAsia="Times New Roman" w:hAnsi="Times New Roman" w:cs="Times New Roman"/>
      <w:sz w:val="24"/>
      <w:szCs w:val="24"/>
      <w:lang w:eastAsia="ar-SA"/>
    </w:rPr>
  </w:style>
  <w:style w:type="paragraph" w:customStyle="1" w:styleId="31">
    <w:name w:val="Основной текст 31"/>
    <w:basedOn w:val="a"/>
    <w:rsid w:val="004C41FE"/>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PlusNormal">
    <w:name w:val="ConsPlusNormal"/>
    <w:link w:val="ConsPlusNormal0"/>
    <w:rsid w:val="004C41FE"/>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4C41FE"/>
    <w:rPr>
      <w:rFonts w:ascii="Arial" w:eastAsia="Arial" w:hAnsi="Arial" w:cs="Arial"/>
      <w:sz w:val="20"/>
      <w:szCs w:val="20"/>
      <w:lang w:eastAsia="ar-SA"/>
    </w:rPr>
  </w:style>
  <w:style w:type="paragraph" w:styleId="a8">
    <w:name w:val="footer"/>
    <w:basedOn w:val="a"/>
    <w:link w:val="a9"/>
    <w:rsid w:val="004C41FE"/>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Нижний колонтитул Знак"/>
    <w:basedOn w:val="a0"/>
    <w:link w:val="a8"/>
    <w:rsid w:val="004C41FE"/>
    <w:rPr>
      <w:rFonts w:ascii="Times New Roman" w:eastAsia="Times New Roman" w:hAnsi="Times New Roman" w:cs="Times New Roman"/>
      <w:sz w:val="20"/>
      <w:szCs w:val="20"/>
      <w:lang w:eastAsia="ar-SA"/>
    </w:rPr>
  </w:style>
  <w:style w:type="paragraph" w:customStyle="1" w:styleId="ltable">
    <w:name w:val="l_table"/>
    <w:basedOn w:val="a"/>
    <w:rsid w:val="004C41FE"/>
    <w:pPr>
      <w:overflowPunct w:val="0"/>
      <w:autoSpaceDE w:val="0"/>
      <w:autoSpaceDN w:val="0"/>
      <w:adjustRightInd w:val="0"/>
      <w:spacing w:after="0" w:line="200" w:lineRule="atLeast"/>
      <w:jc w:val="center"/>
      <w:textAlignment w:val="baseline"/>
    </w:pPr>
    <w:rPr>
      <w:rFonts w:ascii="Arial" w:eastAsia="Times New Roman" w:hAnsi="Arial" w:cs="Times New Roman"/>
      <w:sz w:val="20"/>
      <w:szCs w:val="20"/>
    </w:rPr>
  </w:style>
  <w:style w:type="paragraph" w:customStyle="1" w:styleId="ltable0">
    <w:name w:val="l_table0"/>
    <w:basedOn w:val="ltable"/>
    <w:rsid w:val="004C41FE"/>
    <w:pPr>
      <w:ind w:left="120"/>
      <w:jc w:val="left"/>
    </w:pPr>
  </w:style>
  <w:style w:type="paragraph" w:customStyle="1" w:styleId="1N3000000">
    <w:name w:val="1N3000000"/>
    <w:basedOn w:val="a"/>
    <w:rsid w:val="004C41FE"/>
    <w:pPr>
      <w:overflowPunct w:val="0"/>
      <w:autoSpaceDE w:val="0"/>
      <w:autoSpaceDN w:val="0"/>
      <w:adjustRightInd w:val="0"/>
      <w:spacing w:after="0" w:line="200" w:lineRule="atLeast"/>
      <w:jc w:val="both"/>
      <w:textAlignment w:val="baseline"/>
    </w:pPr>
    <w:rPr>
      <w:rFonts w:ascii="Arial" w:eastAsia="Times New Roman" w:hAnsi="Arial" w:cs="Times New Roman"/>
      <w:sz w:val="20"/>
      <w:szCs w:val="20"/>
    </w:rPr>
  </w:style>
  <w:style w:type="paragraph" w:styleId="aa">
    <w:name w:val="List Paragraph"/>
    <w:basedOn w:val="a"/>
    <w:link w:val="ab"/>
    <w:qFormat/>
    <w:rsid w:val="004C41FE"/>
    <w:pPr>
      <w:spacing w:after="0"/>
      <w:ind w:left="720"/>
      <w:contextualSpacing/>
    </w:pPr>
    <w:rPr>
      <w:rFonts w:ascii="Times New Roman" w:eastAsia="Calibri" w:hAnsi="Times New Roman" w:cs="Times New Roman"/>
      <w:sz w:val="24"/>
      <w:lang w:eastAsia="en-US"/>
    </w:rPr>
  </w:style>
  <w:style w:type="paragraph" w:styleId="ac">
    <w:name w:val="Normal (Web)"/>
    <w:aliases w:val="Обычный (Web)1,Обычный (Web)11,Обычный (Web)"/>
    <w:basedOn w:val="a"/>
    <w:link w:val="ad"/>
    <w:unhideWhenUsed/>
    <w:qFormat/>
    <w:rsid w:val="004C4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Обычный (Web)1 Знак,Обычный (Web)11 Знак,Обычный (Web) Знак"/>
    <w:link w:val="ac"/>
    <w:rsid w:val="004C41FE"/>
    <w:rPr>
      <w:rFonts w:ascii="Times New Roman" w:eastAsia="Times New Roman" w:hAnsi="Times New Roman" w:cs="Times New Roman"/>
      <w:sz w:val="24"/>
      <w:szCs w:val="24"/>
    </w:rPr>
  </w:style>
  <w:style w:type="character" w:customStyle="1" w:styleId="ab">
    <w:name w:val="Абзац списка Знак"/>
    <w:link w:val="aa"/>
    <w:locked/>
    <w:rsid w:val="004C41FE"/>
    <w:rPr>
      <w:rFonts w:ascii="Times New Roman" w:eastAsia="Calibri" w:hAnsi="Times New Roman" w:cs="Times New Roman"/>
      <w:sz w:val="24"/>
      <w:lang w:eastAsia="en-US"/>
    </w:rPr>
  </w:style>
  <w:style w:type="paragraph" w:styleId="ae">
    <w:name w:val="Balloon Text"/>
    <w:basedOn w:val="a"/>
    <w:link w:val="af"/>
    <w:uiPriority w:val="99"/>
    <w:semiHidden/>
    <w:unhideWhenUsed/>
    <w:rsid w:val="004C41F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C41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5.xml"/><Relationship Id="rId24"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5;&#1075;&#1086;&#1088;&#1086;&#1074;&#1072;\Desktop\&#1045;&#1075;&#1086;&#1088;&#1086;&#1074;&#1072;\&#1057;&#1090;&#1088;&#1072;&#1090;&#1077;&#1075;&#1080;&#1103;%20&#1089;&#1086;&#1094;&#1080;&#1072;&#1083;&#1100;&#1085;&#1086;-&#1101;&#1082;&#1086;&#1085;&#1086;&#1084;&#1080;&#1095;&#1077;&#1089;&#1082;&#1086;&#1075;&#1086;%20&#1088;&#1072;&#1079;&#1074;&#1080;&#1090;&#1080;&#1103;\&#1063;&#1080;&#1089;&#1083;&#1077;&#1085;&#1085;&#1086;&#1089;&#1090;&#1100;%20&#1085;&#1072;&#1089;&#1077;&#1083;&#1077;&#1085;&#1080;&#1103;%20&#1088;&#1072;&#1081;&#1086;&#1085;&#1086;&#107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Office_Excel9.xlsx"/><Relationship Id="rId2" Type="http://schemas.openxmlformats.org/officeDocument/2006/relationships/image" Target="../media/image5.jpeg"/><Relationship Id="rId1" Type="http://schemas.openxmlformats.org/officeDocument/2006/relationships/image" Target="../media/image4.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image" Target="../media/image6.jpeg"/></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image" Target="../media/image3.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3.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spPr>
            <a:solidFill>
              <a:srgbClr val="FF0000"/>
            </a:solidFill>
          </c:spPr>
          <c:dLbls>
            <c:dLbl>
              <c:idx val="17"/>
              <c:layout>
                <c:manualLayout>
                  <c:x val="2.4645713023765089E-3"/>
                  <c:y val="-4.6296296296296311E-3"/>
                </c:manualLayout>
              </c:layout>
              <c:showVal val="1"/>
            </c:dLbl>
            <c:txPr>
              <a:bodyPr/>
              <a:lstStyle/>
              <a:p>
                <a:pPr>
                  <a:defRPr sz="400" b="1">
                    <a:latin typeface="Times New Roman" pitchFamily="18" charset="0"/>
                    <a:cs typeface="Times New Roman" pitchFamily="18" charset="0"/>
                  </a:defRPr>
                </a:pPr>
                <a:endParaRPr lang="ru-RU"/>
              </a:p>
            </c:txPr>
            <c:showVal val="1"/>
          </c:dLbls>
          <c:cat>
            <c:strRef>
              <c:f>Лист1!$A$3:$A$29</c:f>
              <c:strCache>
                <c:ptCount val="27"/>
                <c:pt idx="0">
                  <c:v>Саткинский р-н</c:v>
                </c:pt>
                <c:pt idx="1">
                  <c:v>Сосновский р-н</c:v>
                </c:pt>
                <c:pt idx="2">
                  <c:v>Коркинский р-н</c:v>
                </c:pt>
                <c:pt idx="3">
                  <c:v>Ашинский р-н</c:v>
                </c:pt>
                <c:pt idx="4">
                  <c:v>Еманжелинский р-н</c:v>
                </c:pt>
                <c:pt idx="5">
                  <c:v>Карталинский р-н</c:v>
                </c:pt>
                <c:pt idx="6">
                  <c:v>Красноармейский р-н</c:v>
                </c:pt>
                <c:pt idx="7">
                  <c:v>Аргаяшский р-н</c:v>
                </c:pt>
                <c:pt idx="8">
                  <c:v>Верхнеуральский р-н</c:v>
                </c:pt>
                <c:pt idx="9">
                  <c:v>Агаповский р-н</c:v>
                </c:pt>
                <c:pt idx="10">
                  <c:v>Увельский р-н</c:v>
                </c:pt>
                <c:pt idx="11">
                  <c:v>Каслинский р-н</c:v>
                </c:pt>
                <c:pt idx="12">
                  <c:v>Еткульский р-н</c:v>
                </c:pt>
                <c:pt idx="13">
                  <c:v>Чебаркульский р-н</c:v>
                </c:pt>
                <c:pt idx="14">
                  <c:v>Катав-Ивановский р-н</c:v>
                </c:pt>
                <c:pt idx="15">
                  <c:v>Кунашакский р-н</c:v>
                </c:pt>
                <c:pt idx="16">
                  <c:v>Кусинский р-н</c:v>
                </c:pt>
                <c:pt idx="17">
                  <c:v>Пластовский р-н</c:v>
                </c:pt>
                <c:pt idx="18">
                  <c:v>Брединский р-н</c:v>
                </c:pt>
                <c:pt idx="19">
                  <c:v>Троицкий р-н</c:v>
                </c:pt>
                <c:pt idx="20">
                  <c:v>Варненский р-н</c:v>
                </c:pt>
                <c:pt idx="21">
                  <c:v>Уйский р-н</c:v>
                </c:pt>
                <c:pt idx="22">
                  <c:v>Кизильский р-н</c:v>
                </c:pt>
                <c:pt idx="23">
                  <c:v>Октябрьский р-н</c:v>
                </c:pt>
                <c:pt idx="24">
                  <c:v>Чесменский р-н</c:v>
                </c:pt>
                <c:pt idx="25">
                  <c:v>Нагайбакский р-н</c:v>
                </c:pt>
                <c:pt idx="26">
                  <c:v>Нязепетровский р-н</c:v>
                </c:pt>
              </c:strCache>
            </c:strRef>
          </c:cat>
          <c:val>
            <c:numRef>
              <c:f>Лист1!$B$3:$B$29</c:f>
              <c:numCache>
                <c:formatCode>General</c:formatCode>
                <c:ptCount val="27"/>
                <c:pt idx="0">
                  <c:v>78827</c:v>
                </c:pt>
                <c:pt idx="1">
                  <c:v>74956</c:v>
                </c:pt>
                <c:pt idx="2">
                  <c:v>58937</c:v>
                </c:pt>
                <c:pt idx="3">
                  <c:v>57979</c:v>
                </c:pt>
                <c:pt idx="4">
                  <c:v>48774</c:v>
                </c:pt>
                <c:pt idx="5">
                  <c:v>46049</c:v>
                </c:pt>
                <c:pt idx="6">
                  <c:v>41366</c:v>
                </c:pt>
                <c:pt idx="7">
                  <c:v>40540</c:v>
                </c:pt>
                <c:pt idx="8">
                  <c:v>33997</c:v>
                </c:pt>
                <c:pt idx="9">
                  <c:v>33178</c:v>
                </c:pt>
                <c:pt idx="10">
                  <c:v>31885</c:v>
                </c:pt>
                <c:pt idx="11">
                  <c:v>31427</c:v>
                </c:pt>
                <c:pt idx="12">
                  <c:v>29987</c:v>
                </c:pt>
                <c:pt idx="13">
                  <c:v>29609</c:v>
                </c:pt>
                <c:pt idx="14">
                  <c:v>29309</c:v>
                </c:pt>
                <c:pt idx="15">
                  <c:v>28551</c:v>
                </c:pt>
                <c:pt idx="16">
                  <c:v>26467</c:v>
                </c:pt>
                <c:pt idx="17">
                  <c:v>25314</c:v>
                </c:pt>
                <c:pt idx="18">
                  <c:v>24915</c:v>
                </c:pt>
                <c:pt idx="19">
                  <c:v>24894</c:v>
                </c:pt>
                <c:pt idx="20">
                  <c:v>24749</c:v>
                </c:pt>
                <c:pt idx="21">
                  <c:v>22502</c:v>
                </c:pt>
                <c:pt idx="22">
                  <c:v>22075</c:v>
                </c:pt>
                <c:pt idx="23">
                  <c:v>19243</c:v>
                </c:pt>
                <c:pt idx="24">
                  <c:v>18249</c:v>
                </c:pt>
                <c:pt idx="25">
                  <c:v>18201</c:v>
                </c:pt>
                <c:pt idx="26">
                  <c:v>16222</c:v>
                </c:pt>
              </c:numCache>
            </c:numRef>
          </c:val>
        </c:ser>
        <c:axId val="353653504"/>
        <c:axId val="354949376"/>
      </c:barChart>
      <c:catAx>
        <c:axId val="353653504"/>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354949376"/>
        <c:crosses val="autoZero"/>
        <c:auto val="1"/>
        <c:lblAlgn val="ctr"/>
        <c:lblOffset val="100"/>
      </c:catAx>
      <c:valAx>
        <c:axId val="354949376"/>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353653504"/>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8" b="1" i="0" u="none" strike="noStrike" baseline="0">
                <a:solidFill>
                  <a:srgbClr val="000000"/>
                </a:solidFill>
                <a:latin typeface="Arial"/>
                <a:ea typeface="Arial"/>
                <a:cs typeface="Arial"/>
              </a:defRPr>
            </a:pPr>
            <a:r>
              <a:rPr lang="ru-RU"/>
              <a:t>Динамика инвестиций в основной капитал за счет всех источников финансирования</a:t>
            </a:r>
          </a:p>
        </c:rich>
      </c:tx>
      <c:layout>
        <c:manualLayout>
          <c:xMode val="edge"/>
          <c:yMode val="edge"/>
          <c:x val="0.12366412213740462"/>
          <c:y val="3.1700288184438041E-2"/>
        </c:manualLayout>
      </c:layout>
      <c:spPr>
        <a:noFill/>
        <a:ln w="18666">
          <a:noFill/>
        </a:ln>
      </c:spPr>
    </c:title>
    <c:plotArea>
      <c:layout>
        <c:manualLayout>
          <c:layoutTarget val="inner"/>
          <c:xMode val="edge"/>
          <c:yMode val="edge"/>
          <c:x val="0.1755725190839694"/>
          <c:y val="0.17002881844380405"/>
          <c:w val="0.7923664122137406"/>
          <c:h val="0.58789625360230569"/>
        </c:manualLayout>
      </c:layout>
      <c:barChart>
        <c:barDir val="col"/>
        <c:grouping val="clustered"/>
        <c:ser>
          <c:idx val="1"/>
          <c:order val="0"/>
          <c:tx>
            <c:strRef>
              <c:f>Sheet1!$A$2</c:f>
              <c:strCache>
                <c:ptCount val="1"/>
                <c:pt idx="0">
                  <c:v>в действующих ценах</c:v>
                </c:pt>
              </c:strCache>
            </c:strRef>
          </c:tx>
          <c:spPr>
            <a:blipFill dpi="0" rotWithShape="0">
              <a:blip xmlns:r="http://schemas.openxmlformats.org/officeDocument/2006/relationships" r:embed="rId1"/>
              <a:srcRect/>
              <a:tile tx="0" ty="0" sx="100000" sy="100000" flip="none" algn="tl"/>
            </a:blipFill>
            <a:ln w="9333">
              <a:solidFill>
                <a:srgbClr val="000000"/>
              </a:solidFill>
              <a:prstDash val="solid"/>
            </a:ln>
          </c:spPr>
          <c:dLbls>
            <c:dLbl>
              <c:idx val="0"/>
              <c:layout>
                <c:manualLayout>
                  <c:x val="2.4603434292952138E-3"/>
                  <c:y val="-7.6146243333331202E-3"/>
                </c:manualLayout>
              </c:layout>
              <c:dLblPos val="outEnd"/>
              <c:showVal val="1"/>
            </c:dLbl>
            <c:dLbl>
              <c:idx val="1"/>
              <c:layout>
                <c:manualLayout>
                  <c:x val="-3.4938159939685441E-3"/>
                  <c:y val="-9.8226023921893901E-3"/>
                </c:manualLayout>
              </c:layout>
              <c:dLblPos val="outEnd"/>
              <c:showVal val="1"/>
            </c:dLbl>
            <c:dLbl>
              <c:idx val="2"/>
              <c:layout>
                <c:manualLayout>
                  <c:x val="2.9807744441777968E-3"/>
                  <c:y val="-1.7555150509655199E-2"/>
                </c:manualLayout>
              </c:layout>
              <c:dLblPos val="outEnd"/>
              <c:showVal val="1"/>
            </c:dLbl>
            <c:dLbl>
              <c:idx val="3"/>
              <c:layout>
                <c:manualLayout>
                  <c:x val="3.1333278483076567E-3"/>
                  <c:y val="-1.9390821922180401E-2"/>
                </c:manualLayout>
              </c:layout>
              <c:dLblPos val="outEnd"/>
              <c:showVal val="1"/>
            </c:dLbl>
            <c:dLbl>
              <c:idx val="7"/>
              <c:layout>
                <c:manualLayout>
                  <c:x val="-5.7385696765129418E-3"/>
                  <c:y val="-1.2645734416949999E-2"/>
                </c:manualLayout>
              </c:layout>
              <c:dLblPos val="outEnd"/>
              <c:showVal val="1"/>
            </c:dLbl>
            <c:spPr>
              <a:noFill/>
              <a:ln w="18666">
                <a:noFill/>
              </a:ln>
            </c:spPr>
            <c:txPr>
              <a:bodyPr/>
              <a:lstStyle/>
              <a:p>
                <a:pPr>
                  <a:defRPr sz="588" b="1" i="0" u="none" strike="noStrike" baseline="0">
                    <a:solidFill>
                      <a:srgbClr val="000080"/>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485.2</c:v>
                </c:pt>
                <c:pt idx="1">
                  <c:v>662.5</c:v>
                </c:pt>
                <c:pt idx="2">
                  <c:v>1503.6</c:v>
                </c:pt>
                <c:pt idx="3">
                  <c:v>1022.3</c:v>
                </c:pt>
                <c:pt idx="4">
                  <c:v>1885.1</c:v>
                </c:pt>
                <c:pt idx="5">
                  <c:v>1297.5999999999999</c:v>
                </c:pt>
                <c:pt idx="6">
                  <c:v>1422.8</c:v>
                </c:pt>
                <c:pt idx="7">
                  <c:v>1913</c:v>
                </c:pt>
                <c:pt idx="8">
                  <c:v>1931.2</c:v>
                </c:pt>
                <c:pt idx="9">
                  <c:v>5007.8</c:v>
                </c:pt>
              </c:numCache>
            </c:numRef>
          </c:val>
        </c:ser>
        <c:dLbls>
          <c:showVal val="1"/>
        </c:dLbls>
        <c:axId val="359523072"/>
        <c:axId val="359524992"/>
      </c:barChart>
      <c:catAx>
        <c:axId val="359523072"/>
        <c:scaling>
          <c:orientation val="minMax"/>
        </c:scaling>
        <c:axPos val="b"/>
        <c:title>
          <c:tx>
            <c:rich>
              <a:bodyPr/>
              <a:lstStyle/>
              <a:p>
                <a:pPr>
                  <a:defRPr sz="735" b="1" i="0" u="none" strike="noStrike" baseline="0">
                    <a:solidFill>
                      <a:srgbClr val="000000"/>
                    </a:solidFill>
                    <a:latin typeface="Arial"/>
                    <a:ea typeface="Arial"/>
                    <a:cs typeface="Arial"/>
                  </a:defRPr>
                </a:pPr>
                <a:r>
                  <a:rPr lang="ru-RU"/>
                  <a:t>годы</a:t>
                </a:r>
              </a:p>
            </c:rich>
          </c:tx>
          <c:layout>
            <c:manualLayout>
              <c:xMode val="edge"/>
              <c:yMode val="edge"/>
              <c:x val="0.54351145038167958"/>
              <c:y val="0.84726224783861659"/>
            </c:manualLayout>
          </c:layout>
          <c:spPr>
            <a:noFill/>
            <a:ln w="18666">
              <a:noFill/>
            </a:ln>
          </c:spPr>
        </c:title>
        <c:numFmt formatCode="General" sourceLinked="1"/>
        <c:majorTickMark val="cross"/>
        <c:tickLblPos val="nextTo"/>
        <c:spPr>
          <a:ln w="2333">
            <a:solidFill>
              <a:srgbClr val="000000"/>
            </a:solidFill>
            <a:prstDash val="solid"/>
          </a:ln>
        </c:spPr>
        <c:txPr>
          <a:bodyPr rot="0" vert="horz"/>
          <a:lstStyle/>
          <a:p>
            <a:pPr>
              <a:defRPr sz="735" b="1" i="0" u="none" strike="noStrike" baseline="0">
                <a:solidFill>
                  <a:srgbClr val="000000"/>
                </a:solidFill>
                <a:latin typeface="Arial"/>
                <a:ea typeface="Arial"/>
                <a:cs typeface="Arial"/>
              </a:defRPr>
            </a:pPr>
            <a:endParaRPr lang="ru-RU"/>
          </a:p>
        </c:txPr>
        <c:crossAx val="359524992"/>
        <c:crosses val="autoZero"/>
        <c:lblAlgn val="ctr"/>
        <c:lblOffset val="100"/>
        <c:tickLblSkip val="1"/>
        <c:tickMarkSkip val="1"/>
      </c:catAx>
      <c:valAx>
        <c:axId val="359524992"/>
        <c:scaling>
          <c:orientation val="minMax"/>
          <c:max val="5000"/>
          <c:min val="0"/>
        </c:scaling>
        <c:axPos val="l"/>
        <c:title>
          <c:tx>
            <c:rich>
              <a:bodyPr/>
              <a:lstStyle/>
              <a:p>
                <a:pPr>
                  <a:defRPr sz="735" b="1" i="0" u="none" strike="noStrike" baseline="0">
                    <a:solidFill>
                      <a:srgbClr val="000000"/>
                    </a:solidFill>
                    <a:latin typeface="Arial"/>
                    <a:ea typeface="Arial"/>
                    <a:cs typeface="Arial"/>
                  </a:defRPr>
                </a:pPr>
                <a:r>
                  <a:rPr lang="ru-RU"/>
                  <a:t>млн.рублей</a:t>
                </a:r>
              </a:p>
            </c:rich>
          </c:tx>
          <c:layout>
            <c:manualLayout>
              <c:xMode val="edge"/>
              <c:yMode val="edge"/>
              <c:x val="7.9389312977099238E-2"/>
              <c:y val="0.34870317002881845"/>
            </c:manualLayout>
          </c:layout>
          <c:spPr>
            <a:noFill/>
            <a:ln w="18666">
              <a:noFill/>
            </a:ln>
          </c:spPr>
        </c:title>
        <c:numFmt formatCode="General" sourceLinked="1"/>
        <c:majorTickMark val="cross"/>
        <c:tickLblPos val="nextTo"/>
        <c:spPr>
          <a:ln w="2333">
            <a:solidFill>
              <a:srgbClr val="000000"/>
            </a:solidFill>
            <a:prstDash val="solid"/>
          </a:ln>
        </c:spPr>
        <c:txPr>
          <a:bodyPr rot="0" vert="horz"/>
          <a:lstStyle/>
          <a:p>
            <a:pPr>
              <a:defRPr sz="735" b="1" i="0" u="none" strike="noStrike" baseline="0">
                <a:solidFill>
                  <a:srgbClr val="333399"/>
                </a:solidFill>
                <a:latin typeface="Arial"/>
                <a:ea typeface="Arial"/>
                <a:cs typeface="Arial"/>
              </a:defRPr>
            </a:pPr>
            <a:endParaRPr lang="ru-RU"/>
          </a:p>
        </c:txPr>
        <c:crossAx val="359523072"/>
        <c:crosses val="autoZero"/>
        <c:crossBetween val="between"/>
        <c:majorUnit val="500"/>
        <c:minorUnit val="500"/>
      </c:valAx>
      <c:spPr>
        <a:blipFill dpi="0" rotWithShape="0">
          <a:blip xmlns:r="http://schemas.openxmlformats.org/officeDocument/2006/relationships" r:embed="rId2"/>
          <a:srcRect/>
          <a:tile tx="0" ty="0" sx="100000" sy="100000" flip="none" algn="tl"/>
        </a:blipFill>
        <a:ln w="9333">
          <a:solidFill>
            <a:srgbClr val="808080"/>
          </a:solidFill>
          <a:prstDash val="solid"/>
        </a:ln>
      </c:spPr>
    </c:plotArea>
    <c:legend>
      <c:legendPos val="r"/>
      <c:layout>
        <c:manualLayout>
          <c:xMode val="edge"/>
          <c:yMode val="edge"/>
          <c:x val="0.39541984732824453"/>
          <c:y val="0.9048991354466861"/>
          <c:w val="0.23816793893129776"/>
          <c:h val="6.9164265129683031E-2"/>
        </c:manualLayout>
      </c:layout>
      <c:spPr>
        <a:solidFill>
          <a:srgbClr val="FFFFFF"/>
        </a:solidFill>
        <a:ln w="2333">
          <a:solidFill>
            <a:srgbClr val="000000"/>
          </a:solidFill>
          <a:prstDash val="solid"/>
        </a:ln>
      </c:spPr>
      <c:txPr>
        <a:bodyPr/>
        <a:lstStyle/>
        <a:p>
          <a:pPr>
            <a:defRPr sz="676" b="0" i="0" u="none" strike="noStrike" baseline="0">
              <a:solidFill>
                <a:srgbClr val="000000"/>
              </a:solidFill>
              <a:latin typeface="Arial"/>
              <a:ea typeface="Arial"/>
              <a:cs typeface="Arial"/>
            </a:defRPr>
          </a:pPr>
          <a:endParaRPr lang="ru-RU"/>
        </a:p>
      </c:txPr>
    </c:legend>
    <c:plotVisOnly val="1"/>
    <c:dispBlanksAs val="gap"/>
  </c:chart>
  <c:spPr>
    <a:noFill/>
    <a:ln w="233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externalData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6" b="1" i="0" u="none" strike="noStrike" baseline="0">
                <a:solidFill>
                  <a:srgbClr val="000000"/>
                </a:solidFill>
                <a:latin typeface="Times New Roman"/>
                <a:ea typeface="Times New Roman"/>
                <a:cs typeface="Times New Roman"/>
              </a:defRPr>
            </a:pPr>
            <a:r>
              <a:rPr lang="ru-RU"/>
              <a:t>Ввод в эксплуатацию жилых домов за счет всех источников финансирования</a:t>
            </a:r>
          </a:p>
        </c:rich>
      </c:tx>
      <c:layout>
        <c:manualLayout>
          <c:xMode val="edge"/>
          <c:yMode val="edge"/>
          <c:x val="0.17944785276073627"/>
          <c:y val="3.1830238726790465E-2"/>
        </c:manualLayout>
      </c:layout>
      <c:spPr>
        <a:noFill/>
        <a:ln w="18610">
          <a:noFill/>
        </a:ln>
      </c:spPr>
    </c:title>
    <c:plotArea>
      <c:layout>
        <c:manualLayout>
          <c:layoutTarget val="inner"/>
          <c:xMode val="edge"/>
          <c:yMode val="edge"/>
          <c:x val="8.8957055214723968E-2"/>
          <c:y val="0.22546419098143247"/>
          <c:w val="0.84355828220858942"/>
          <c:h val="0.51193633952254647"/>
        </c:manualLayout>
      </c:layout>
      <c:barChart>
        <c:barDir val="col"/>
        <c:grouping val="clustered"/>
        <c:ser>
          <c:idx val="1"/>
          <c:order val="0"/>
          <c:tx>
            <c:strRef>
              <c:f>Sheet1!$A$2</c:f>
              <c:strCache>
                <c:ptCount val="1"/>
                <c:pt idx="0">
                  <c:v>ввод в действие жилых домов</c:v>
                </c:pt>
              </c:strCache>
            </c:strRef>
          </c:tx>
          <c:spPr>
            <a:gradFill rotWithShape="0">
              <a:gsLst>
                <a:gs pos="0">
                  <a:srgbClr val="00FF00"/>
                </a:gs>
                <a:gs pos="50000">
                  <a:srgbClr val="00FF00">
                    <a:gamma/>
                    <a:shade val="46275"/>
                    <a:invGamma/>
                  </a:srgbClr>
                </a:gs>
                <a:gs pos="100000">
                  <a:srgbClr val="00FF00"/>
                </a:gs>
              </a:gsLst>
              <a:lin ang="0" scaled="1"/>
            </a:gradFill>
            <a:ln w="9305">
              <a:solidFill>
                <a:srgbClr val="000000"/>
              </a:solidFill>
              <a:prstDash val="solid"/>
            </a:ln>
          </c:spPr>
          <c:dLbls>
            <c:dLbl>
              <c:idx val="3"/>
              <c:layout>
                <c:manualLayout>
                  <c:x val="1.2129834205362386E-3"/>
                  <c:y val="-1.5379082935651777E-2"/>
                </c:manualLayout>
              </c:layout>
              <c:dLblPos val="outEnd"/>
              <c:showVal val="1"/>
            </c:dLbl>
            <c:spPr>
              <a:noFill/>
              <a:ln w="18610">
                <a:noFill/>
              </a:ln>
            </c:spPr>
            <c:txPr>
              <a:bodyPr/>
              <a:lstStyle/>
              <a:p>
                <a:pPr>
                  <a:defRPr sz="586" b="1" i="0" u="none" strike="noStrike" baseline="0">
                    <a:solidFill>
                      <a:srgbClr val="000000"/>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8.8000000000000007</c:v>
                </c:pt>
                <c:pt idx="1">
                  <c:v>9.3000000000000007</c:v>
                </c:pt>
                <c:pt idx="2">
                  <c:v>7.2</c:v>
                </c:pt>
                <c:pt idx="3">
                  <c:v>7.6</c:v>
                </c:pt>
                <c:pt idx="4">
                  <c:v>5.3</c:v>
                </c:pt>
                <c:pt idx="5">
                  <c:v>12.4</c:v>
                </c:pt>
                <c:pt idx="6">
                  <c:v>15.1</c:v>
                </c:pt>
                <c:pt idx="7">
                  <c:v>10.7</c:v>
                </c:pt>
                <c:pt idx="8">
                  <c:v>8.6</c:v>
                </c:pt>
                <c:pt idx="9">
                  <c:v>9.5</c:v>
                </c:pt>
              </c:numCache>
            </c:numRef>
          </c:val>
        </c:ser>
        <c:dLbls>
          <c:showVal val="1"/>
        </c:dLbls>
        <c:axId val="359348096"/>
        <c:axId val="353902592"/>
      </c:barChart>
      <c:lineChart>
        <c:grouping val="standard"/>
        <c:ser>
          <c:idx val="0"/>
          <c:order val="1"/>
          <c:tx>
            <c:strRef>
              <c:f>Sheet1!$A$3</c:f>
              <c:strCache>
                <c:ptCount val="1"/>
                <c:pt idx="0">
                  <c:v>общая площадь жилых, помещений, приходящаяся в среднем на одного жителя</c:v>
                </c:pt>
              </c:strCache>
            </c:strRef>
          </c:tx>
          <c:spPr>
            <a:ln w="18610">
              <a:solidFill>
                <a:srgbClr val="FF6600"/>
              </a:solidFill>
              <a:prstDash val="solid"/>
            </a:ln>
          </c:spPr>
          <c:marker>
            <c:symbol val="diamond"/>
            <c:size val="5"/>
            <c:spPr>
              <a:solidFill>
                <a:srgbClr val="FF6600"/>
              </a:solidFill>
              <a:ln>
                <a:solidFill>
                  <a:srgbClr val="FF6600"/>
                </a:solidFill>
                <a:prstDash val="solid"/>
              </a:ln>
            </c:spPr>
          </c:marker>
          <c:dLbls>
            <c:dLbl>
              <c:idx val="0"/>
              <c:layout>
                <c:manualLayout>
                  <c:x val="-2.8715562826068162E-2"/>
                  <c:y val="-4.8515185242316294E-2"/>
                </c:manualLayout>
              </c:layout>
              <c:dLblPos val="r"/>
              <c:showVal val="1"/>
            </c:dLbl>
            <c:dLbl>
              <c:idx val="1"/>
              <c:layout>
                <c:manualLayout>
                  <c:x val="-2.7181837521361676E-2"/>
                  <c:y val="-4.0743335385144547E-2"/>
                </c:manualLayout>
              </c:layout>
              <c:dLblPos val="r"/>
              <c:showVal val="1"/>
            </c:dLbl>
            <c:dLbl>
              <c:idx val="2"/>
              <c:layout>
                <c:manualLayout>
                  <c:x val="-2.8715596879231746E-2"/>
                  <c:y val="-4.6624437916306487E-2"/>
                </c:manualLayout>
              </c:layout>
              <c:dLblPos val="r"/>
              <c:showVal val="1"/>
            </c:dLbl>
            <c:dLbl>
              <c:idx val="3"/>
              <c:layout>
                <c:manualLayout>
                  <c:x val="-7.2432212677767914E-3"/>
                  <c:y val="3.0941510295298038E-2"/>
                </c:manualLayout>
              </c:layout>
              <c:dLblPos val="r"/>
              <c:showVal val="1"/>
            </c:dLbl>
            <c:dLbl>
              <c:idx val="4"/>
              <c:layout>
                <c:manualLayout>
                  <c:x val="-2.5648146269818872E-2"/>
                  <c:y val="-3.0056709579034589E-2"/>
                </c:manualLayout>
              </c:layout>
              <c:dLblPos val="r"/>
              <c:showVal val="1"/>
            </c:dLbl>
            <c:dLbl>
              <c:idx val="5"/>
              <c:layout>
                <c:manualLayout>
                  <c:x val="-2.1046777712087496E-2"/>
                  <c:y val="-3.6328436079490226E-2"/>
                </c:manualLayout>
              </c:layout>
              <c:dLblPos val="r"/>
              <c:showVal val="1"/>
            </c:dLbl>
            <c:dLbl>
              <c:idx val="6"/>
              <c:layout>
                <c:manualLayout>
                  <c:x val="-1.9513052407381059E-2"/>
                  <c:y val="-4.017149010060099E-2"/>
                </c:manualLayout>
              </c:layout>
              <c:dLblPos val="r"/>
              <c:showVal val="1"/>
            </c:dLbl>
            <c:dLbl>
              <c:idx val="7"/>
              <c:layout>
                <c:manualLayout>
                  <c:x val="-2.7181781090404512E-2"/>
                  <c:y val="-4.1166576717937733E-2"/>
                </c:manualLayout>
              </c:layout>
              <c:dLblPos val="r"/>
              <c:showVal val="1"/>
            </c:dLbl>
            <c:dLbl>
              <c:idx val="8"/>
              <c:layout>
                <c:manualLayout>
                  <c:x val="-4.2519221429869761E-2"/>
                  <c:y val="-4.6033388311520589E-2"/>
                </c:manualLayout>
              </c:layout>
              <c:dLblPos val="r"/>
              <c:showVal val="1"/>
            </c:dLbl>
            <c:spPr>
              <a:noFill/>
              <a:ln w="18610">
                <a:noFill/>
              </a:ln>
            </c:spPr>
            <c:txPr>
              <a:bodyPr/>
              <a:lstStyle/>
              <a:p>
                <a:pPr>
                  <a:defRPr sz="586" b="1" i="0" u="none" strike="noStrike" baseline="0">
                    <a:solidFill>
                      <a:srgbClr val="800000"/>
                    </a:solidFill>
                    <a:latin typeface="Arial"/>
                    <a:ea typeface="Arial"/>
                    <a:cs typeface="Arial"/>
                  </a:defRPr>
                </a:pPr>
                <a:endParaRPr lang="ru-RU"/>
              </a:p>
            </c:txPr>
            <c:dLblPos val="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Sheet1!$B$3:$K$3</c:f>
              <c:numCache>
                <c:formatCode>General</c:formatCode>
                <c:ptCount val="10"/>
                <c:pt idx="0">
                  <c:v>19.739999999999991</c:v>
                </c:pt>
                <c:pt idx="1">
                  <c:v>19.989999999999984</c:v>
                </c:pt>
                <c:pt idx="2">
                  <c:v>20.479999999999993</c:v>
                </c:pt>
                <c:pt idx="3">
                  <c:v>20.9</c:v>
                </c:pt>
                <c:pt idx="4">
                  <c:v>21.03</c:v>
                </c:pt>
                <c:pt idx="5">
                  <c:v>21.759999999999994</c:v>
                </c:pt>
                <c:pt idx="6">
                  <c:v>22.22</c:v>
                </c:pt>
                <c:pt idx="7">
                  <c:v>22.56</c:v>
                </c:pt>
                <c:pt idx="8">
                  <c:v>22.97</c:v>
                </c:pt>
                <c:pt idx="9">
                  <c:v>23.979999999999993</c:v>
                </c:pt>
              </c:numCache>
            </c:numRef>
          </c:val>
        </c:ser>
        <c:dLbls>
          <c:showVal val="1"/>
        </c:dLbls>
        <c:marker val="1"/>
        <c:axId val="353904128"/>
        <c:axId val="353905664"/>
      </c:lineChart>
      <c:catAx>
        <c:axId val="359348096"/>
        <c:scaling>
          <c:orientation val="minMax"/>
        </c:scaling>
        <c:axPos val="b"/>
        <c:title>
          <c:tx>
            <c:rich>
              <a:bodyPr/>
              <a:lstStyle/>
              <a:p>
                <a:pPr>
                  <a:defRPr sz="733" b="1" i="0" u="none" strike="noStrike" baseline="0">
                    <a:solidFill>
                      <a:srgbClr val="000000"/>
                    </a:solidFill>
                    <a:latin typeface="Arial"/>
                    <a:ea typeface="Arial"/>
                    <a:cs typeface="Arial"/>
                  </a:defRPr>
                </a:pPr>
                <a:r>
                  <a:rPr lang="ru-RU"/>
                  <a:t>годы</a:t>
                </a:r>
              </a:p>
            </c:rich>
          </c:tx>
          <c:layout>
            <c:manualLayout>
              <c:xMode val="edge"/>
              <c:yMode val="edge"/>
              <c:x val="0.48312883435582837"/>
              <c:y val="0.81962864721485451"/>
            </c:manualLayout>
          </c:layout>
          <c:spPr>
            <a:noFill/>
            <a:ln w="18610">
              <a:noFill/>
            </a:ln>
          </c:spPr>
        </c:title>
        <c:numFmt formatCode="General" sourceLinked="1"/>
        <c:majorTickMark val="cross"/>
        <c:tickLblPos val="nextTo"/>
        <c:spPr>
          <a:ln w="2326">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353902592"/>
        <c:crosses val="autoZero"/>
        <c:lblAlgn val="ctr"/>
        <c:lblOffset val="100"/>
        <c:tickLblSkip val="1"/>
        <c:tickMarkSkip val="1"/>
      </c:catAx>
      <c:valAx>
        <c:axId val="353902592"/>
        <c:scaling>
          <c:orientation val="minMax"/>
          <c:max val="16"/>
          <c:min val="0"/>
        </c:scaling>
        <c:axPos val="l"/>
        <c:title>
          <c:tx>
            <c:rich>
              <a:bodyPr/>
              <a:lstStyle/>
              <a:p>
                <a:pPr>
                  <a:defRPr sz="733" b="1" i="0" u="none" strike="noStrike" baseline="0">
                    <a:solidFill>
                      <a:srgbClr val="000000"/>
                    </a:solidFill>
                    <a:latin typeface="Arial"/>
                    <a:ea typeface="Arial"/>
                    <a:cs typeface="Arial"/>
                  </a:defRPr>
                </a:pPr>
                <a:r>
                  <a:rPr lang="ru-RU"/>
                  <a:t>тыс.кв.метров</a:t>
                </a:r>
              </a:p>
            </c:rich>
          </c:tx>
          <c:layout>
            <c:manualLayout>
              <c:xMode val="edge"/>
              <c:yMode val="edge"/>
              <c:x val="1.3803680981595096E-2"/>
              <c:y val="0.35013262599469508"/>
            </c:manualLayout>
          </c:layout>
          <c:spPr>
            <a:noFill/>
            <a:ln w="18610">
              <a:noFill/>
            </a:ln>
          </c:spPr>
        </c:title>
        <c:numFmt formatCode="General" sourceLinked="1"/>
        <c:majorTickMark val="cross"/>
        <c:tickLblPos val="nextTo"/>
        <c:spPr>
          <a:ln w="2326">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359348096"/>
        <c:crosses val="autoZero"/>
        <c:crossBetween val="between"/>
        <c:majorUnit val="1"/>
        <c:minorUnit val="1"/>
      </c:valAx>
      <c:catAx>
        <c:axId val="353904128"/>
        <c:scaling>
          <c:orientation val="minMax"/>
        </c:scaling>
        <c:delete val="1"/>
        <c:axPos val="b"/>
        <c:numFmt formatCode="General" sourceLinked="1"/>
        <c:tickLblPos val="nextTo"/>
        <c:crossAx val="353905664"/>
        <c:crosses val="autoZero"/>
        <c:lblAlgn val="ctr"/>
        <c:lblOffset val="100"/>
      </c:catAx>
      <c:valAx>
        <c:axId val="353905664"/>
        <c:scaling>
          <c:orientation val="minMax"/>
          <c:max val="25"/>
        </c:scaling>
        <c:axPos val="r"/>
        <c:title>
          <c:tx>
            <c:rich>
              <a:bodyPr/>
              <a:lstStyle/>
              <a:p>
                <a:pPr>
                  <a:defRPr sz="733" b="1" i="0" u="none" strike="noStrike" baseline="0">
                    <a:solidFill>
                      <a:srgbClr val="FF6600"/>
                    </a:solidFill>
                    <a:latin typeface="Arial"/>
                    <a:ea typeface="Arial"/>
                    <a:cs typeface="Arial"/>
                  </a:defRPr>
                </a:pPr>
                <a:r>
                  <a:rPr lang="ru-RU"/>
                  <a:t>кв.метров</a:t>
                </a:r>
              </a:p>
            </c:rich>
          </c:tx>
          <c:layout>
            <c:manualLayout>
              <c:xMode val="edge"/>
              <c:yMode val="edge"/>
              <c:x val="0.9647239263803683"/>
              <c:y val="0.38726790450928394"/>
            </c:manualLayout>
          </c:layout>
          <c:spPr>
            <a:noFill/>
            <a:ln w="18610">
              <a:noFill/>
            </a:ln>
          </c:spPr>
        </c:title>
        <c:numFmt formatCode="General" sourceLinked="1"/>
        <c:majorTickMark val="cross"/>
        <c:tickLblPos val="nextTo"/>
        <c:spPr>
          <a:solidFill>
            <a:srgbClr val="FFFFFF"/>
          </a:solidFill>
          <a:ln w="9305">
            <a:solidFill>
              <a:srgbClr val="FF6600"/>
            </a:solidFill>
            <a:prstDash val="solid"/>
          </a:ln>
        </c:spPr>
        <c:txPr>
          <a:bodyPr rot="0" vert="horz"/>
          <a:lstStyle/>
          <a:p>
            <a:pPr>
              <a:defRPr sz="733" b="1" i="0" u="none" strike="noStrike" baseline="0">
                <a:solidFill>
                  <a:srgbClr val="FF6600"/>
                </a:solidFill>
                <a:latin typeface="Arial"/>
                <a:ea typeface="Arial"/>
                <a:cs typeface="Arial"/>
              </a:defRPr>
            </a:pPr>
            <a:endParaRPr lang="ru-RU"/>
          </a:p>
        </c:txPr>
        <c:crossAx val="353904128"/>
        <c:crosses val="max"/>
        <c:crossBetween val="between"/>
        <c:majorUnit val="5"/>
        <c:minorUnit val="5"/>
      </c:valAx>
      <c:spPr>
        <a:gradFill rotWithShape="0">
          <a:gsLst>
            <a:gs pos="0">
              <a:srgbClr val="CCFFCC">
                <a:gamma/>
                <a:shade val="46275"/>
                <a:invGamma/>
              </a:srgbClr>
            </a:gs>
            <a:gs pos="100000">
              <a:srgbClr val="CCFFCC"/>
            </a:gs>
          </a:gsLst>
          <a:path path="rect">
            <a:fillToRect l="50000" t="50000" r="50000" b="50000"/>
          </a:path>
        </a:gradFill>
        <a:ln w="9305">
          <a:solidFill>
            <a:srgbClr val="808080"/>
          </a:solidFill>
          <a:prstDash val="solid"/>
        </a:ln>
      </c:spPr>
    </c:plotArea>
    <c:legend>
      <c:legendPos val="r"/>
      <c:layout>
        <c:manualLayout>
          <c:xMode val="edge"/>
          <c:yMode val="edge"/>
          <c:x val="8.5889570552147229E-2"/>
          <c:y val="0.87002652519893897"/>
          <c:w val="0.81748466257668739"/>
          <c:h val="0.11936339522546416"/>
        </c:manualLayout>
      </c:layout>
      <c:spPr>
        <a:solidFill>
          <a:srgbClr val="FFFFFF"/>
        </a:solidFill>
        <a:ln w="2326">
          <a:solidFill>
            <a:srgbClr val="000000"/>
          </a:solidFill>
          <a:prstDash val="solid"/>
        </a:ln>
      </c:spPr>
      <c:txPr>
        <a:bodyPr/>
        <a:lstStyle/>
        <a:p>
          <a:pPr>
            <a:defRPr sz="674" b="0" i="0" u="none" strike="noStrike" baseline="0">
              <a:solidFill>
                <a:srgbClr val="000000"/>
              </a:solidFill>
              <a:latin typeface="Arial"/>
              <a:ea typeface="Arial"/>
              <a:cs typeface="Arial"/>
            </a:defRPr>
          </a:pPr>
          <a:endParaRPr lang="ru-RU"/>
        </a:p>
      </c:txPr>
    </c:legend>
    <c:plotVisOnly val="1"/>
    <c:dispBlanksAs val="gap"/>
  </c:chart>
  <c:spPr>
    <a:noFill/>
    <a:ln w="2326">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43" b="1" i="0" u="none" strike="noStrike" baseline="0">
                <a:solidFill>
                  <a:srgbClr val="000000"/>
                </a:solidFill>
                <a:latin typeface="Times New Roman"/>
                <a:ea typeface="Times New Roman"/>
                <a:cs typeface="Times New Roman"/>
              </a:defRPr>
            </a:pPr>
            <a:r>
              <a:rPr lang="ru-RU"/>
              <a:t>Доля растениеводства и животноводства в общем объеме сельского хозяйства</a:t>
            </a:r>
          </a:p>
        </c:rich>
      </c:tx>
      <c:layout>
        <c:manualLayout>
          <c:xMode val="edge"/>
          <c:yMode val="edge"/>
          <c:x val="0.14084507042253527"/>
          <c:y val="2.0161290322580638E-2"/>
        </c:manualLayout>
      </c:layout>
      <c:spPr>
        <a:noFill/>
        <a:ln w="18628">
          <a:noFill/>
        </a:ln>
      </c:spPr>
    </c:title>
    <c:view3D>
      <c:rotX val="20"/>
      <c:rotY val="180"/>
      <c:perspective val="0"/>
    </c:view3D>
    <c:plotArea>
      <c:layout>
        <c:manualLayout>
          <c:layoutTarget val="inner"/>
          <c:xMode val="edge"/>
          <c:yMode val="edge"/>
          <c:x val="0.34330985915492968"/>
          <c:y val="0.27016129032258068"/>
          <c:w val="0.30281690140845097"/>
          <c:h val="0.33064516129032268"/>
        </c:manualLayout>
      </c:layout>
      <c:pie3DChart>
        <c:varyColors val="1"/>
        <c:ser>
          <c:idx val="0"/>
          <c:order val="0"/>
          <c:tx>
            <c:strRef>
              <c:f>Sheet1!$A$2</c:f>
              <c:strCache>
                <c:ptCount val="1"/>
              </c:strCache>
            </c:strRef>
          </c:tx>
          <c:spPr>
            <a:solidFill>
              <a:srgbClr val="9999FF"/>
            </a:solidFill>
            <a:ln w="9314">
              <a:solidFill>
                <a:srgbClr val="000000"/>
              </a:solidFill>
              <a:prstDash val="solid"/>
            </a:ln>
          </c:spPr>
          <c:explosion val="14"/>
          <c:dPt>
            <c:idx val="1"/>
            <c:spPr>
              <a:solidFill>
                <a:srgbClr val="993366"/>
              </a:solidFill>
              <a:ln w="9314">
                <a:solidFill>
                  <a:srgbClr val="000000"/>
                </a:solidFill>
                <a:prstDash val="solid"/>
              </a:ln>
            </c:spPr>
          </c:dPt>
          <c:dLbls>
            <c:dLbl>
              <c:idx val="0"/>
              <c:layout>
                <c:manualLayout>
                  <c:x val="-6.6385755486876655E-2"/>
                  <c:y val="-7.1241102678637419E-3"/>
                </c:manualLayout>
              </c:layout>
              <c:tx>
                <c:rich>
                  <a:bodyPr/>
                  <a:lstStyle/>
                  <a:p>
                    <a:pPr>
                      <a:defRPr sz="733" b="1" i="0" u="none" strike="noStrike" baseline="0">
                        <a:solidFill>
                          <a:srgbClr val="000000"/>
                        </a:solidFill>
                        <a:latin typeface="Calibri"/>
                        <a:ea typeface="Calibri"/>
                        <a:cs typeface="Calibri"/>
                      </a:defRPr>
                    </a:pPr>
                    <a:r>
                      <a:rPr lang="ru-RU"/>
                      <a:t>42,4%</a:t>
                    </a:r>
                  </a:p>
                </c:rich>
              </c:tx>
              <c:spPr>
                <a:noFill/>
                <a:ln w="18628">
                  <a:noFill/>
                </a:ln>
              </c:spPr>
              <c:dLblPos val="bestFit"/>
            </c:dLbl>
            <c:dLbl>
              <c:idx val="1"/>
              <c:layout>
                <c:manualLayout>
                  <c:x val="5.2246404661927398E-2"/>
                  <c:y val="-9.9973044040169171E-2"/>
                </c:manualLayout>
              </c:layout>
              <c:tx>
                <c:rich>
                  <a:bodyPr/>
                  <a:lstStyle/>
                  <a:p>
                    <a:pPr>
                      <a:defRPr sz="733" b="1" i="0" u="none" strike="noStrike" baseline="0">
                        <a:solidFill>
                          <a:srgbClr val="000000"/>
                        </a:solidFill>
                        <a:latin typeface="Calibri"/>
                        <a:ea typeface="Calibri"/>
                        <a:cs typeface="Calibri"/>
                      </a:defRPr>
                    </a:pPr>
                    <a:r>
                      <a:rPr lang="ru-RU"/>
                      <a:t>57,6%</a:t>
                    </a:r>
                  </a:p>
                </c:rich>
              </c:tx>
              <c:spPr>
                <a:noFill/>
                <a:ln w="18628">
                  <a:noFill/>
                </a:ln>
              </c:spPr>
              <c:dLblPos val="bestFit"/>
            </c:dLbl>
            <c:numFmt formatCode="0%" sourceLinked="0"/>
            <c:spPr>
              <a:noFill/>
              <a:ln w="18628">
                <a:noFill/>
              </a:ln>
            </c:spPr>
            <c:txPr>
              <a:bodyPr/>
              <a:lstStyle/>
              <a:p>
                <a:pPr>
                  <a:defRPr sz="733" b="1" i="0" u="none" strike="noStrike" baseline="0">
                    <a:solidFill>
                      <a:srgbClr val="000000"/>
                    </a:solidFill>
                    <a:latin typeface="Calibri"/>
                    <a:ea typeface="Calibri"/>
                    <a:cs typeface="Calibri"/>
                  </a:defRPr>
                </a:pPr>
                <a:endParaRPr lang="ru-RU"/>
              </a:p>
            </c:txPr>
            <c:showPercent val="1"/>
            <c:showLeaderLines val="1"/>
          </c:dLbls>
          <c:cat>
            <c:strRef>
              <c:f>Sheet1!$B$1:$C$1</c:f>
              <c:strCache>
                <c:ptCount val="2"/>
                <c:pt idx="0">
                  <c:v>животноводство</c:v>
                </c:pt>
                <c:pt idx="1">
                  <c:v>растениеводство</c:v>
                </c:pt>
              </c:strCache>
            </c:strRef>
          </c:cat>
          <c:val>
            <c:numRef>
              <c:f>Sheet1!$B$2:$C$2</c:f>
              <c:numCache>
                <c:formatCode>General</c:formatCode>
                <c:ptCount val="2"/>
                <c:pt idx="0">
                  <c:v>571</c:v>
                </c:pt>
                <c:pt idx="1">
                  <c:v>774.5</c:v>
                </c:pt>
              </c:numCache>
            </c:numRef>
          </c:val>
        </c:ser>
        <c:ser>
          <c:idx val="1"/>
          <c:order val="1"/>
          <c:tx>
            <c:strRef>
              <c:f>Sheet1!$A$3</c:f>
              <c:strCache>
                <c:ptCount val="1"/>
              </c:strCache>
            </c:strRef>
          </c:tx>
          <c:spPr>
            <a:solidFill>
              <a:srgbClr val="993366"/>
            </a:solidFill>
            <a:ln w="9314">
              <a:solidFill>
                <a:srgbClr val="000000"/>
              </a:solidFill>
              <a:prstDash val="solid"/>
            </a:ln>
          </c:spPr>
          <c:explosion val="14"/>
          <c:dPt>
            <c:idx val="0"/>
            <c:spPr>
              <a:solidFill>
                <a:srgbClr val="9999FF"/>
              </a:solidFill>
              <a:ln w="9314">
                <a:solidFill>
                  <a:srgbClr val="000000"/>
                </a:solidFill>
                <a:prstDash val="solid"/>
              </a:ln>
            </c:spPr>
          </c:dPt>
          <c:dLbls>
            <c:numFmt formatCode="0%" sourceLinked="0"/>
            <c:spPr>
              <a:noFill/>
              <a:ln w="18628">
                <a:noFill/>
              </a:ln>
            </c:spPr>
            <c:txPr>
              <a:bodyPr/>
              <a:lstStyle/>
              <a:p>
                <a:pPr>
                  <a:defRPr sz="1137" b="1" i="0" u="none" strike="noStrike" baseline="0">
                    <a:solidFill>
                      <a:srgbClr val="000000"/>
                    </a:solidFill>
                    <a:latin typeface="Calibri"/>
                    <a:ea typeface="Calibri"/>
                    <a:cs typeface="Calibri"/>
                  </a:defRPr>
                </a:pPr>
                <a:endParaRPr lang="ru-RU"/>
              </a:p>
            </c:txPr>
            <c:showPercent val="1"/>
            <c:showLeaderLines val="1"/>
          </c:dLbls>
          <c:cat>
            <c:strRef>
              <c:f>Sheet1!$B$1:$C$1</c:f>
              <c:strCache>
                <c:ptCount val="2"/>
                <c:pt idx="0">
                  <c:v>животноводство</c:v>
                </c:pt>
                <c:pt idx="1">
                  <c:v>растениеводство</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9314">
              <a:solidFill>
                <a:srgbClr val="000000"/>
              </a:solidFill>
              <a:prstDash val="solid"/>
            </a:ln>
          </c:spPr>
          <c:explosion val="14"/>
          <c:dPt>
            <c:idx val="0"/>
            <c:spPr>
              <a:solidFill>
                <a:srgbClr val="9999FF"/>
              </a:solidFill>
              <a:ln w="9314">
                <a:solidFill>
                  <a:srgbClr val="000000"/>
                </a:solidFill>
                <a:prstDash val="solid"/>
              </a:ln>
            </c:spPr>
          </c:dPt>
          <c:dPt>
            <c:idx val="1"/>
            <c:spPr>
              <a:solidFill>
                <a:srgbClr val="993366"/>
              </a:solidFill>
              <a:ln w="9314">
                <a:solidFill>
                  <a:srgbClr val="000000"/>
                </a:solidFill>
                <a:prstDash val="solid"/>
              </a:ln>
            </c:spPr>
          </c:dPt>
          <c:dLbls>
            <c:numFmt formatCode="0%" sourceLinked="0"/>
            <c:spPr>
              <a:noFill/>
              <a:ln w="18628">
                <a:noFill/>
              </a:ln>
            </c:spPr>
            <c:txPr>
              <a:bodyPr/>
              <a:lstStyle/>
              <a:p>
                <a:pPr>
                  <a:defRPr sz="1137" b="1" i="0" u="none" strike="noStrike" baseline="0">
                    <a:solidFill>
                      <a:srgbClr val="000000"/>
                    </a:solidFill>
                    <a:latin typeface="Calibri"/>
                    <a:ea typeface="Calibri"/>
                    <a:cs typeface="Calibri"/>
                  </a:defRPr>
                </a:pPr>
                <a:endParaRPr lang="ru-RU"/>
              </a:p>
            </c:txPr>
            <c:showPercent val="1"/>
            <c:showLeaderLines val="1"/>
          </c:dLbls>
          <c:cat>
            <c:strRef>
              <c:f>Sheet1!$B$1:$C$1</c:f>
              <c:strCache>
                <c:ptCount val="2"/>
                <c:pt idx="0">
                  <c:v>животноводство</c:v>
                </c:pt>
                <c:pt idx="1">
                  <c:v>растениеводство</c:v>
                </c:pt>
              </c:strCache>
            </c:strRef>
          </c:cat>
          <c:val>
            <c:numRef>
              <c:f>Sheet1!$B$4:$C$4</c:f>
              <c:numCache>
                <c:formatCode>General</c:formatCode>
                <c:ptCount val="2"/>
              </c:numCache>
            </c:numRef>
          </c:val>
        </c:ser>
        <c:dLbls>
          <c:showPercent val="1"/>
        </c:dLbls>
      </c:pie3DChart>
      <c:spPr>
        <a:noFill/>
        <a:ln w="9314">
          <a:solidFill>
            <a:srgbClr val="FFFFFF"/>
          </a:solidFill>
          <a:prstDash val="solid"/>
        </a:ln>
      </c:spPr>
    </c:plotArea>
    <c:legend>
      <c:legendPos val="b"/>
      <c:legendEntry>
        <c:idx val="0"/>
        <c:txPr>
          <a:bodyPr/>
          <a:lstStyle/>
          <a:p>
            <a:pPr>
              <a:defRPr sz="807" b="1" i="0" u="none" strike="noStrike" baseline="0">
                <a:solidFill>
                  <a:srgbClr val="000000"/>
                </a:solidFill>
                <a:latin typeface="Calibri"/>
                <a:ea typeface="Calibri"/>
                <a:cs typeface="Calibri"/>
              </a:defRPr>
            </a:pPr>
            <a:endParaRPr lang="ru-RU"/>
          </a:p>
        </c:txPr>
      </c:legendEntry>
      <c:legendEntry>
        <c:idx val="1"/>
        <c:txPr>
          <a:bodyPr/>
          <a:lstStyle/>
          <a:p>
            <a:pPr>
              <a:defRPr sz="807" b="1" i="0" u="none" strike="noStrike" baseline="0">
                <a:solidFill>
                  <a:srgbClr val="000000"/>
                </a:solidFill>
                <a:latin typeface="Calibri"/>
                <a:ea typeface="Calibri"/>
                <a:cs typeface="Calibri"/>
              </a:defRPr>
            </a:pPr>
            <a:endParaRPr lang="ru-RU"/>
          </a:p>
        </c:txPr>
      </c:legendEntry>
      <c:layout>
        <c:manualLayout>
          <c:xMode val="edge"/>
          <c:yMode val="edge"/>
          <c:x val="0"/>
          <c:y val="0.83467741935483908"/>
          <c:w val="1"/>
          <c:h val="0.16532258064516128"/>
        </c:manualLayout>
      </c:layout>
      <c:spPr>
        <a:noFill/>
        <a:ln w="18628">
          <a:noFill/>
        </a:ln>
      </c:spPr>
      <c:txPr>
        <a:bodyPr/>
        <a:lstStyle/>
        <a:p>
          <a:pPr>
            <a:defRPr sz="1162"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7"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6" b="1" i="0" u="none" strike="noStrike" baseline="0">
                <a:solidFill>
                  <a:srgbClr val="000000"/>
                </a:solidFill>
                <a:latin typeface="Arial"/>
                <a:ea typeface="Arial"/>
                <a:cs typeface="Arial"/>
              </a:defRPr>
            </a:pPr>
            <a:r>
              <a:rPr lang="ru-RU"/>
              <a:t>Выпуск продукции сельского хозяйства в хозяйствах всех категорий в ценах соответствующего периода</a:t>
            </a:r>
          </a:p>
        </c:rich>
      </c:tx>
      <c:layout>
        <c:manualLayout>
          <c:xMode val="edge"/>
          <c:yMode val="edge"/>
          <c:x val="0.13036020583190394"/>
          <c:y val="2.1798365122615813E-2"/>
        </c:manualLayout>
      </c:layout>
      <c:spPr>
        <a:noFill/>
        <a:ln w="18600">
          <a:noFill/>
        </a:ln>
      </c:spPr>
    </c:title>
    <c:plotArea>
      <c:layout>
        <c:manualLayout>
          <c:layoutTarget val="inner"/>
          <c:xMode val="edge"/>
          <c:yMode val="edge"/>
          <c:x val="0.11835334476843913"/>
          <c:y val="0.20163487738419619"/>
          <c:w val="0.81989708404802764"/>
          <c:h val="0.57765667574931878"/>
        </c:manualLayout>
      </c:layout>
      <c:lineChart>
        <c:grouping val="standard"/>
        <c:ser>
          <c:idx val="1"/>
          <c:order val="0"/>
          <c:tx>
            <c:strRef>
              <c:f>Sheet1!$A$2</c:f>
              <c:strCache>
                <c:ptCount val="1"/>
                <c:pt idx="0">
                  <c:v>в действующих ценах</c:v>
                </c:pt>
              </c:strCache>
            </c:strRef>
          </c:tx>
          <c:spPr>
            <a:ln w="186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4.7792734056431229E-3"/>
                  <c:y val="8.455729026690703E-4"/>
                </c:manualLayout>
              </c:layout>
              <c:dLblPos val="r"/>
              <c:showVal val="1"/>
            </c:dLbl>
            <c:dLbl>
              <c:idx val="1"/>
              <c:layout>
                <c:manualLayout>
                  <c:x val="-5.5704976884095813E-4"/>
                  <c:y val="-3.1941176376937253E-3"/>
                </c:manualLayout>
              </c:layout>
              <c:dLblPos val="r"/>
              <c:showVal val="1"/>
            </c:dLbl>
            <c:dLbl>
              <c:idx val="2"/>
              <c:layout>
                <c:manualLayout>
                  <c:x val="7.828576843137508E-3"/>
                  <c:y val="-9.5174554543560417E-3"/>
                </c:manualLayout>
              </c:layout>
              <c:dLblPos val="r"/>
              <c:showVal val="1"/>
            </c:dLbl>
            <c:dLbl>
              <c:idx val="3"/>
              <c:layout>
                <c:manualLayout>
                  <c:x val="7.6380512672812474E-3"/>
                  <c:y val="-9.6623038044411861E-3"/>
                </c:manualLayout>
              </c:layout>
              <c:dLblPos val="r"/>
              <c:showVal val="1"/>
            </c:dLbl>
            <c:spPr>
              <a:noFill/>
              <a:ln w="18600">
                <a:noFill/>
              </a:ln>
            </c:spPr>
            <c:txPr>
              <a:bodyPr/>
              <a:lstStyle/>
              <a:p>
                <a:pPr>
                  <a:defRPr sz="586" b="1" i="0" u="none" strike="noStrike" baseline="0">
                    <a:solidFill>
                      <a:srgbClr val="003366"/>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1283</c:v>
                </c:pt>
                <c:pt idx="1">
                  <c:v>1070.9000000000001</c:v>
                </c:pt>
                <c:pt idx="2">
                  <c:v>1435.8</c:v>
                </c:pt>
                <c:pt idx="3" formatCode="#,##0.00">
                  <c:v>963.6</c:v>
                </c:pt>
                <c:pt idx="4" formatCode="#,##0.00">
                  <c:v>1236.7</c:v>
                </c:pt>
                <c:pt idx="5" formatCode="#,##0.00">
                  <c:v>1115.7</c:v>
                </c:pt>
                <c:pt idx="6" formatCode="#,##0.00">
                  <c:v>1383.9</c:v>
                </c:pt>
                <c:pt idx="7">
                  <c:v>1429.4</c:v>
                </c:pt>
                <c:pt idx="8">
                  <c:v>1345.6</c:v>
                </c:pt>
                <c:pt idx="9">
                  <c:v>1194.7</c:v>
                </c:pt>
              </c:numCache>
            </c:numRef>
          </c:val>
        </c:ser>
        <c:ser>
          <c:idx val="0"/>
          <c:order val="1"/>
          <c:tx>
            <c:strRef>
              <c:f>Sheet1!$A$3</c:f>
              <c:strCache>
                <c:ptCount val="1"/>
                <c:pt idx="0">
                  <c:v>в процентах к предыдущему году в сопоставимых ценах</c:v>
                </c:pt>
              </c:strCache>
            </c:strRef>
          </c:tx>
          <c:spPr>
            <a:ln w="18600">
              <a:solidFill>
                <a:srgbClr val="800000"/>
              </a:solidFill>
              <a:prstDash val="solid"/>
            </a:ln>
          </c:spPr>
          <c:marker>
            <c:symbol val="diamond"/>
            <c:size val="5"/>
            <c:spPr>
              <a:solidFill>
                <a:srgbClr val="800000"/>
              </a:solidFill>
              <a:ln>
                <a:solidFill>
                  <a:srgbClr val="800000"/>
                </a:solidFill>
                <a:prstDash val="solid"/>
              </a:ln>
            </c:spPr>
          </c:marker>
          <c:dLbls>
            <c:dLbl>
              <c:idx val="0"/>
              <c:layout>
                <c:manualLayout>
                  <c:x val="-3.467184151716992E-2"/>
                  <c:y val="-6.1445963476169214E-2"/>
                </c:manualLayout>
              </c:layout>
              <c:dLblPos val="r"/>
              <c:showVal val="1"/>
            </c:dLbl>
            <c:dLbl>
              <c:idx val="1"/>
              <c:layout>
                <c:manualLayout>
                  <c:x val="-5.0299759888909647E-2"/>
                  <c:y val="-4.4451478039205301E-2"/>
                </c:manualLayout>
              </c:layout>
              <c:dLblPos val="r"/>
              <c:showVal val="1"/>
            </c:dLbl>
            <c:dLbl>
              <c:idx val="2"/>
              <c:layout>
                <c:manualLayout>
                  <c:x val="-4.53446650093495E-2"/>
                  <c:y val="-5.2126140426783214E-2"/>
                </c:manualLayout>
              </c:layout>
              <c:dLblPos val="r"/>
              <c:showVal val="1"/>
            </c:dLbl>
            <c:dLbl>
              <c:idx val="3"/>
              <c:layout>
                <c:manualLayout>
                  <c:x val="-5.0680988183833708E-2"/>
                  <c:y val="-5.0266616185305563E-2"/>
                </c:manualLayout>
              </c:layout>
              <c:dLblPos val="r"/>
              <c:showVal val="1"/>
            </c:dLbl>
            <c:dLbl>
              <c:idx val="4"/>
              <c:layout>
                <c:manualLayout>
                  <c:x val="-6.1163108956945551E-2"/>
                  <c:y val="-5.0729911047828917E-2"/>
                </c:manualLayout>
              </c:layout>
              <c:dLblPos val="r"/>
              <c:showVal val="1"/>
            </c:dLbl>
            <c:dLbl>
              <c:idx val="5"/>
              <c:layout>
                <c:manualLayout>
                  <c:x val="-3.0479026084246644E-2"/>
                  <c:y val="-6.296701519679479E-2"/>
                </c:manualLayout>
              </c:layout>
              <c:dLblPos val="r"/>
              <c:showVal val="1"/>
            </c:dLbl>
            <c:dLbl>
              <c:idx val="6"/>
              <c:layout>
                <c:manualLayout>
                  <c:x val="-5.1252742054614185E-2"/>
                  <c:y val="-5.1201412669431672E-2"/>
                </c:manualLayout>
              </c:layout>
              <c:dLblPos val="r"/>
              <c:showVal val="1"/>
            </c:dLbl>
            <c:dLbl>
              <c:idx val="7"/>
              <c:layout>
                <c:manualLayout>
                  <c:x val="-6.5165394560144613E-2"/>
                  <c:y val="-4.9169697355194768E-2"/>
                </c:manualLayout>
              </c:layout>
              <c:dLblPos val="r"/>
              <c:showVal val="1"/>
            </c:dLbl>
            <c:dLbl>
              <c:idx val="8"/>
              <c:layout>
                <c:manualLayout>
                  <c:x val="-1.904391889156231E-2"/>
                  <c:y val="-8.0471015660163833E-2"/>
                </c:manualLayout>
              </c:layout>
              <c:dLblPos val="r"/>
              <c:showVal val="1"/>
            </c:dLbl>
            <c:spPr>
              <a:noFill/>
              <a:ln w="18600">
                <a:noFill/>
              </a:ln>
            </c:spPr>
            <c:txPr>
              <a:bodyPr/>
              <a:lstStyle/>
              <a:p>
                <a:pPr>
                  <a:defRPr sz="586" b="1" i="0" u="none" strike="noStrike" baseline="0">
                    <a:solidFill>
                      <a:srgbClr val="800000"/>
                    </a:solidFill>
                    <a:latin typeface="Arial"/>
                    <a:ea typeface="Arial"/>
                    <a:cs typeface="Arial"/>
                  </a:defRPr>
                </a:pPr>
                <a:endParaRPr lang="ru-RU"/>
              </a:p>
            </c:txPr>
            <c:dLblPos val="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Sheet1!$B$3:$K$3</c:f>
              <c:numCache>
                <c:formatCode>General</c:formatCode>
                <c:ptCount val="10"/>
                <c:pt idx="0">
                  <c:v>114.5</c:v>
                </c:pt>
                <c:pt idx="1">
                  <c:v>79</c:v>
                </c:pt>
                <c:pt idx="2">
                  <c:v>127.9</c:v>
                </c:pt>
                <c:pt idx="3">
                  <c:v>68.3</c:v>
                </c:pt>
                <c:pt idx="4">
                  <c:v>123.3</c:v>
                </c:pt>
                <c:pt idx="5">
                  <c:v>99.8</c:v>
                </c:pt>
                <c:pt idx="6">
                  <c:v>102.8</c:v>
                </c:pt>
                <c:pt idx="7">
                  <c:v>100.4</c:v>
                </c:pt>
                <c:pt idx="8">
                  <c:v>95.8</c:v>
                </c:pt>
                <c:pt idx="9">
                  <c:v>93.5</c:v>
                </c:pt>
              </c:numCache>
            </c:numRef>
          </c:val>
        </c:ser>
        <c:dLbls>
          <c:showVal val="1"/>
        </c:dLbls>
        <c:marker val="1"/>
        <c:axId val="359744256"/>
        <c:axId val="359746176"/>
      </c:lineChart>
      <c:catAx>
        <c:axId val="359744256"/>
        <c:scaling>
          <c:orientation val="minMax"/>
        </c:scaling>
        <c:axPos val="b"/>
        <c:title>
          <c:tx>
            <c:rich>
              <a:bodyPr/>
              <a:lstStyle/>
              <a:p>
                <a:pPr>
                  <a:defRPr sz="732" b="1" i="0" u="none" strike="noStrike" baseline="0">
                    <a:solidFill>
                      <a:srgbClr val="000000"/>
                    </a:solidFill>
                    <a:latin typeface="Arial"/>
                    <a:ea typeface="Arial"/>
                    <a:cs typeface="Arial"/>
                  </a:defRPr>
                </a:pPr>
                <a:r>
                  <a:rPr lang="ru-RU"/>
                  <a:t>годы</a:t>
                </a:r>
              </a:p>
            </c:rich>
          </c:tx>
          <c:layout>
            <c:manualLayout>
              <c:xMode val="edge"/>
              <c:yMode val="edge"/>
              <c:x val="0.49742710120068639"/>
              <c:y val="0.86376021798365143"/>
            </c:manualLayout>
          </c:layout>
          <c:spPr>
            <a:noFill/>
            <a:ln w="18600">
              <a:noFill/>
            </a:ln>
          </c:spPr>
        </c:title>
        <c:numFmt formatCode="General" sourceLinked="1"/>
        <c:tickLblPos val="nextTo"/>
        <c:spPr>
          <a:ln w="2325">
            <a:solidFill>
              <a:srgbClr val="000000"/>
            </a:solidFill>
            <a:prstDash val="solid"/>
          </a:ln>
        </c:spPr>
        <c:txPr>
          <a:bodyPr rot="0" vert="horz"/>
          <a:lstStyle/>
          <a:p>
            <a:pPr>
              <a:defRPr sz="732" b="1" i="0" u="none" strike="noStrike" baseline="0">
                <a:solidFill>
                  <a:srgbClr val="000000"/>
                </a:solidFill>
                <a:latin typeface="Arial"/>
                <a:ea typeface="Arial"/>
                <a:cs typeface="Arial"/>
              </a:defRPr>
            </a:pPr>
            <a:endParaRPr lang="ru-RU"/>
          </a:p>
        </c:txPr>
        <c:crossAx val="359746176"/>
        <c:crosses val="autoZero"/>
        <c:lblAlgn val="ctr"/>
        <c:lblOffset val="100"/>
        <c:tickLblSkip val="1"/>
        <c:tickMarkSkip val="1"/>
      </c:catAx>
      <c:valAx>
        <c:axId val="359746176"/>
        <c:scaling>
          <c:orientation val="minMax"/>
          <c:max val="2000"/>
          <c:min val="0"/>
        </c:scaling>
        <c:axPos val="l"/>
        <c:title>
          <c:tx>
            <c:rich>
              <a:bodyPr/>
              <a:lstStyle/>
              <a:p>
                <a:pPr>
                  <a:defRPr sz="732" b="1" i="0" u="none" strike="noStrike" baseline="0">
                    <a:solidFill>
                      <a:srgbClr val="000000"/>
                    </a:solidFill>
                    <a:latin typeface="Arial"/>
                    <a:ea typeface="Arial"/>
                    <a:cs typeface="Arial"/>
                  </a:defRPr>
                </a:pPr>
                <a:r>
                  <a:rPr lang="ru-RU"/>
                  <a:t>млн.рублей</a:t>
                </a:r>
              </a:p>
            </c:rich>
          </c:tx>
          <c:layout>
            <c:manualLayout>
              <c:xMode val="edge"/>
              <c:yMode val="edge"/>
              <c:x val="1.0291595197255581E-2"/>
              <c:y val="0.38147138964577681"/>
            </c:manualLayout>
          </c:layout>
          <c:spPr>
            <a:noFill/>
            <a:ln w="18600">
              <a:noFill/>
            </a:ln>
          </c:spPr>
        </c:title>
        <c:numFmt formatCode="General" sourceLinked="1"/>
        <c:tickLblPos val="nextTo"/>
        <c:spPr>
          <a:ln w="2325">
            <a:solidFill>
              <a:srgbClr val="000000"/>
            </a:solidFill>
            <a:prstDash val="solid"/>
          </a:ln>
        </c:spPr>
        <c:txPr>
          <a:bodyPr rot="0" vert="horz"/>
          <a:lstStyle/>
          <a:p>
            <a:pPr>
              <a:defRPr sz="732" b="1" i="0" u="none" strike="noStrike" baseline="0">
                <a:solidFill>
                  <a:srgbClr val="008080"/>
                </a:solidFill>
                <a:latin typeface="Arial"/>
                <a:ea typeface="Arial"/>
                <a:cs typeface="Arial"/>
              </a:defRPr>
            </a:pPr>
            <a:endParaRPr lang="ru-RU"/>
          </a:p>
        </c:txPr>
        <c:crossAx val="359744256"/>
        <c:crosses val="autoZero"/>
        <c:crossBetween val="midCat"/>
        <c:majorUnit val="500"/>
        <c:minorUnit val="500"/>
      </c:valAx>
      <c:spPr>
        <a:blipFill dpi="0" rotWithShape="0">
          <a:blip xmlns:r="http://schemas.openxmlformats.org/officeDocument/2006/relationships" r:embed="rId1"/>
          <a:srcRect/>
          <a:tile tx="0" ty="0" sx="100000" sy="100000" flip="none" algn="tl"/>
        </a:blipFill>
        <a:ln w="9300">
          <a:solidFill>
            <a:srgbClr val="808080"/>
          </a:solidFill>
          <a:prstDash val="solid"/>
        </a:ln>
      </c:spPr>
    </c:plotArea>
    <c:legend>
      <c:legendPos val="r"/>
      <c:layout>
        <c:manualLayout>
          <c:xMode val="edge"/>
          <c:yMode val="edge"/>
          <c:x val="3.7735849056603793E-2"/>
          <c:y val="0.92370572207084489"/>
          <c:w val="0.95711835334476869"/>
          <c:h val="6.5395095367847419E-2"/>
        </c:manualLayout>
      </c:layout>
      <c:spPr>
        <a:solidFill>
          <a:srgbClr val="FFFFFF"/>
        </a:solidFill>
        <a:ln w="2325">
          <a:solidFill>
            <a:srgbClr val="000000"/>
          </a:solidFill>
          <a:prstDash val="solid"/>
        </a:ln>
      </c:spPr>
      <c:txPr>
        <a:bodyPr/>
        <a:lstStyle/>
        <a:p>
          <a:pPr>
            <a:defRPr sz="674" b="0" i="0" u="none" strike="noStrike" baseline="0">
              <a:solidFill>
                <a:srgbClr val="000000"/>
              </a:solidFill>
              <a:latin typeface="Arial"/>
              <a:ea typeface="Arial"/>
              <a:cs typeface="Arial"/>
            </a:defRPr>
          </a:pPr>
          <a:endParaRPr lang="ru-RU"/>
        </a:p>
      </c:txPr>
    </c:legend>
    <c:plotVisOnly val="1"/>
    <c:dispBlanksAs val="gap"/>
  </c:chart>
  <c:spPr>
    <a:noFill/>
    <a:ln w="2325">
      <a:solidFill>
        <a:srgbClr val="000000"/>
      </a:solidFill>
      <a:prstDash val="solid"/>
    </a:ln>
  </c:spPr>
  <c:txPr>
    <a:bodyPr/>
    <a:lstStyle/>
    <a:p>
      <a:pPr>
        <a:defRPr sz="732" b="0" i="0" u="none" strike="noStrike" baseline="0">
          <a:solidFill>
            <a:srgbClr val="000000"/>
          </a:solidFill>
          <a:latin typeface="Arial"/>
          <a:ea typeface="Arial"/>
          <a:cs typeface="Arial"/>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3863636363636373"/>
          <c:y val="8.1081081081081086E-2"/>
          <c:w val="0.46969696969696983"/>
          <c:h val="0.52972972972972976"/>
        </c:manualLayout>
      </c:layout>
      <c:pie3DChart>
        <c:varyColors val="1"/>
        <c:ser>
          <c:idx val="0"/>
          <c:order val="0"/>
          <c:tx>
            <c:strRef>
              <c:f>Sheet1!$A$2</c:f>
              <c:strCache>
                <c:ptCount val="1"/>
                <c:pt idx="0">
                  <c:v>Восток</c:v>
                </c:pt>
              </c:strCache>
            </c:strRef>
          </c:tx>
          <c:spPr>
            <a:solidFill>
              <a:srgbClr val="9999FF"/>
            </a:solidFill>
            <a:ln w="9307">
              <a:solidFill>
                <a:srgbClr val="000000"/>
              </a:solidFill>
              <a:prstDash val="solid"/>
            </a:ln>
          </c:spPr>
          <c:explosion val="19"/>
          <c:dPt>
            <c:idx val="1"/>
            <c:spPr>
              <a:solidFill>
                <a:srgbClr val="993366"/>
              </a:solidFill>
              <a:ln w="9307">
                <a:solidFill>
                  <a:srgbClr val="000000"/>
                </a:solidFill>
                <a:prstDash val="solid"/>
              </a:ln>
            </c:spPr>
          </c:dPt>
          <c:dPt>
            <c:idx val="2"/>
            <c:spPr>
              <a:solidFill>
                <a:srgbClr val="FFFFCC"/>
              </a:solidFill>
              <a:ln w="9307">
                <a:solidFill>
                  <a:srgbClr val="000000"/>
                </a:solidFill>
                <a:prstDash val="solid"/>
              </a:ln>
            </c:spPr>
          </c:dPt>
          <c:dPt>
            <c:idx val="3"/>
            <c:spPr>
              <a:solidFill>
                <a:srgbClr val="CCFFFF"/>
              </a:solidFill>
              <a:ln w="9307">
                <a:solidFill>
                  <a:srgbClr val="000000"/>
                </a:solidFill>
                <a:prstDash val="solid"/>
              </a:ln>
            </c:spPr>
          </c:dPt>
          <c:dPt>
            <c:idx val="4"/>
            <c:spPr>
              <a:solidFill>
                <a:srgbClr val="660066"/>
              </a:solidFill>
              <a:ln w="9307">
                <a:solidFill>
                  <a:srgbClr val="000000"/>
                </a:solidFill>
                <a:prstDash val="solid"/>
              </a:ln>
            </c:spPr>
          </c:dPt>
          <c:dPt>
            <c:idx val="5"/>
            <c:spPr>
              <a:solidFill>
                <a:srgbClr val="FF8080"/>
              </a:solidFill>
              <a:ln w="9307">
                <a:solidFill>
                  <a:srgbClr val="000000"/>
                </a:solidFill>
                <a:prstDash val="solid"/>
              </a:ln>
            </c:spPr>
          </c:dPt>
          <c:dLbls>
            <c:dLbl>
              <c:idx val="0"/>
              <c:layout>
                <c:manualLayout>
                  <c:x val="2.855290466802355E-2"/>
                  <c:y val="-0.12162358268079693"/>
                </c:manualLayout>
              </c:layout>
              <c:dLblPos val="bestFit"/>
              <c:showPercent val="1"/>
            </c:dLbl>
            <c:dLbl>
              <c:idx val="1"/>
              <c:layout>
                <c:manualLayout>
                  <c:x val="-1.8033855468421917E-2"/>
                  <c:y val="8.1091743432449445E-2"/>
                </c:manualLayout>
              </c:layout>
              <c:dLblPos val="bestFit"/>
              <c:showPercent val="1"/>
            </c:dLbl>
            <c:dLbl>
              <c:idx val="2"/>
              <c:layout>
                <c:manualLayout>
                  <c:x val="-1.9058447271287592E-2"/>
                  <c:y val="0.12103468387362944"/>
                </c:manualLayout>
              </c:layout>
              <c:dLblPos val="bestFit"/>
              <c:showPercent val="1"/>
            </c:dLbl>
            <c:dLbl>
              <c:idx val="3"/>
              <c:layout>
                <c:manualLayout>
                  <c:x val="-1.1639950065916732E-2"/>
                  <c:y val="7.9280015281735269E-2"/>
                </c:manualLayout>
              </c:layout>
              <c:dLblPos val="bestFit"/>
              <c:showPercent val="1"/>
            </c:dLbl>
            <c:dLbl>
              <c:idx val="4"/>
              <c:layout>
                <c:manualLayout>
                  <c:x val="-1.3369564203154117E-2"/>
                  <c:y val="-8.8860965988697069E-2"/>
                </c:manualLayout>
              </c:layout>
              <c:dLblPos val="bestFit"/>
              <c:showPercent val="1"/>
            </c:dLbl>
            <c:dLbl>
              <c:idx val="5"/>
              <c:dLblPos val="bestFit"/>
              <c:showPercent val="1"/>
            </c:dLbl>
            <c:numFmt formatCode="0%" sourceLinked="0"/>
            <c:spPr>
              <a:noFill/>
              <a:ln w="18613">
                <a:noFill/>
              </a:ln>
            </c:spPr>
            <c:txPr>
              <a:bodyPr/>
              <a:lstStyle/>
              <a:p>
                <a:pPr>
                  <a:defRPr sz="605" b="1" i="0" u="none" strike="noStrike" baseline="0">
                    <a:solidFill>
                      <a:srgbClr val="000000"/>
                    </a:solidFill>
                    <a:latin typeface="Calibri"/>
                    <a:ea typeface="Calibri"/>
                    <a:cs typeface="Calibri"/>
                  </a:defRPr>
                </a:pPr>
                <a:endParaRPr lang="ru-RU"/>
              </a:p>
            </c:txPr>
            <c:showPercent val="1"/>
            <c:showLeaderLines val="1"/>
          </c:dLbls>
          <c:cat>
            <c:strRef>
              <c:f>Sheet1!$B$1:$G$1</c:f>
              <c:strCache>
                <c:ptCount val="6"/>
                <c:pt idx="0">
                  <c:v>торговля</c:v>
                </c:pt>
                <c:pt idx="1">
                  <c:v>общественное питание</c:v>
                </c:pt>
                <c:pt idx="2">
                  <c:v>сельское хозяйство</c:v>
                </c:pt>
                <c:pt idx="3">
                  <c:v>строительство</c:v>
                </c:pt>
                <c:pt idx="4">
                  <c:v>обрабатывающие производства</c:v>
                </c:pt>
                <c:pt idx="5">
                  <c:v>прочие</c:v>
                </c:pt>
              </c:strCache>
            </c:strRef>
          </c:cat>
          <c:val>
            <c:numRef>
              <c:f>Sheet1!$B$2:$G$2</c:f>
              <c:numCache>
                <c:formatCode>General</c:formatCode>
                <c:ptCount val="6"/>
                <c:pt idx="0">
                  <c:v>50</c:v>
                </c:pt>
                <c:pt idx="1">
                  <c:v>5</c:v>
                </c:pt>
                <c:pt idx="2">
                  <c:v>15</c:v>
                </c:pt>
                <c:pt idx="3">
                  <c:v>3</c:v>
                </c:pt>
                <c:pt idx="4">
                  <c:v>7</c:v>
                </c:pt>
                <c:pt idx="5">
                  <c:v>20</c:v>
                </c:pt>
              </c:numCache>
            </c:numRef>
          </c:val>
        </c:ser>
        <c:ser>
          <c:idx val="1"/>
          <c:order val="1"/>
          <c:tx>
            <c:strRef>
              <c:f>Sheet1!$A$3</c:f>
              <c:strCache>
                <c:ptCount val="1"/>
              </c:strCache>
            </c:strRef>
          </c:tx>
          <c:spPr>
            <a:solidFill>
              <a:srgbClr val="993366"/>
            </a:solidFill>
            <a:ln w="9307">
              <a:solidFill>
                <a:srgbClr val="000000"/>
              </a:solidFill>
              <a:prstDash val="solid"/>
            </a:ln>
          </c:spPr>
          <c:explosion val="19"/>
          <c:dPt>
            <c:idx val="0"/>
            <c:spPr>
              <a:solidFill>
                <a:srgbClr val="9999FF"/>
              </a:solidFill>
              <a:ln w="9307">
                <a:solidFill>
                  <a:srgbClr val="000000"/>
                </a:solidFill>
                <a:prstDash val="solid"/>
              </a:ln>
            </c:spPr>
          </c:dPt>
          <c:dPt>
            <c:idx val="2"/>
            <c:spPr>
              <a:solidFill>
                <a:srgbClr val="FFFFCC"/>
              </a:solidFill>
              <a:ln w="9307">
                <a:solidFill>
                  <a:srgbClr val="000000"/>
                </a:solidFill>
                <a:prstDash val="solid"/>
              </a:ln>
            </c:spPr>
          </c:dPt>
          <c:dPt>
            <c:idx val="3"/>
            <c:spPr>
              <a:solidFill>
                <a:srgbClr val="CCFFFF"/>
              </a:solidFill>
              <a:ln w="9307">
                <a:solidFill>
                  <a:srgbClr val="000000"/>
                </a:solidFill>
                <a:prstDash val="solid"/>
              </a:ln>
            </c:spPr>
          </c:dPt>
          <c:dPt>
            <c:idx val="4"/>
            <c:spPr>
              <a:solidFill>
                <a:srgbClr val="660066"/>
              </a:solidFill>
              <a:ln w="9307">
                <a:solidFill>
                  <a:srgbClr val="000000"/>
                </a:solidFill>
                <a:prstDash val="solid"/>
              </a:ln>
            </c:spPr>
          </c:dPt>
          <c:dPt>
            <c:idx val="5"/>
            <c:spPr>
              <a:solidFill>
                <a:srgbClr val="FF8080"/>
              </a:solidFill>
              <a:ln w="9307">
                <a:solidFill>
                  <a:srgbClr val="000000"/>
                </a:solidFill>
                <a:prstDash val="solid"/>
              </a:ln>
            </c:spPr>
          </c:dPt>
          <c:cat>
            <c:strRef>
              <c:f>Sheet1!$B$1:$G$1</c:f>
              <c:strCache>
                <c:ptCount val="6"/>
                <c:pt idx="0">
                  <c:v>торговля</c:v>
                </c:pt>
                <c:pt idx="1">
                  <c:v>общественное питание</c:v>
                </c:pt>
                <c:pt idx="2">
                  <c:v>сельское хозяйство</c:v>
                </c:pt>
                <c:pt idx="3">
                  <c:v>строительство</c:v>
                </c:pt>
                <c:pt idx="4">
                  <c:v>обрабатывающие производства</c:v>
                </c:pt>
                <c:pt idx="5">
                  <c:v>прочие</c:v>
                </c:pt>
              </c:strCache>
            </c:strRef>
          </c:cat>
          <c:val>
            <c:numRef>
              <c:f>Sheet1!$B$3:$G$3</c:f>
              <c:numCache>
                <c:formatCode>General</c:formatCode>
                <c:ptCount val="6"/>
              </c:numCache>
            </c:numRef>
          </c:val>
        </c:ser>
      </c:pie3DChart>
      <c:spPr>
        <a:noFill/>
        <a:ln w="9307">
          <a:solidFill>
            <a:srgbClr val="FFFFFF"/>
          </a:solidFill>
          <a:prstDash val="solid"/>
        </a:ln>
      </c:spPr>
    </c:plotArea>
    <c:legend>
      <c:legendPos val="b"/>
      <c:spPr>
        <a:noFill/>
        <a:ln w="18613">
          <a:noFill/>
        </a:ln>
      </c:spPr>
      <c:txPr>
        <a:bodyPr/>
        <a:lstStyle/>
        <a:p>
          <a:pPr>
            <a:defRPr sz="806"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605"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6" b="1" i="0" u="none" strike="noStrike" baseline="0">
                <a:solidFill>
                  <a:srgbClr val="000000"/>
                </a:solidFill>
                <a:latin typeface="Times New Roman"/>
                <a:ea typeface="Times New Roman"/>
                <a:cs typeface="Times New Roman"/>
              </a:defRPr>
            </a:pPr>
            <a:r>
              <a:rPr lang="ru-RU"/>
              <a:t>Оборот розничной торговли по крупным и средним организациям</a:t>
            </a:r>
          </a:p>
        </c:rich>
      </c:tx>
      <c:layout>
        <c:manualLayout>
          <c:xMode val="edge"/>
          <c:yMode val="edge"/>
          <c:x val="0.15207373271889404"/>
          <c:y val="3.1784841075794636E-2"/>
        </c:manualLayout>
      </c:layout>
      <c:spPr>
        <a:noFill/>
        <a:ln w="18614">
          <a:noFill/>
        </a:ln>
      </c:spPr>
    </c:title>
    <c:plotArea>
      <c:layout>
        <c:manualLayout>
          <c:layoutTarget val="inner"/>
          <c:xMode val="edge"/>
          <c:yMode val="edge"/>
          <c:x val="0.11213517665130569"/>
          <c:y val="0.20537897310513448"/>
          <c:w val="0.86175115207373321"/>
          <c:h val="0.54278728606356963"/>
        </c:manualLayout>
      </c:layout>
      <c:barChart>
        <c:barDir val="col"/>
        <c:grouping val="clustered"/>
        <c:ser>
          <c:idx val="1"/>
          <c:order val="0"/>
          <c:tx>
            <c:strRef>
              <c:f>Sheet1!$A$2</c:f>
              <c:strCache>
                <c:ptCount val="1"/>
                <c:pt idx="0">
                  <c:v>в действующих ценах</c:v>
                </c:pt>
              </c:strCache>
            </c:strRef>
          </c:tx>
          <c:spPr>
            <a:gradFill rotWithShape="0">
              <a:gsLst>
                <a:gs pos="0">
                  <a:srgbClr val="00FF00"/>
                </a:gs>
                <a:gs pos="50000">
                  <a:srgbClr val="00FF00">
                    <a:gamma/>
                    <a:shade val="46275"/>
                    <a:invGamma/>
                  </a:srgbClr>
                </a:gs>
                <a:gs pos="100000">
                  <a:srgbClr val="00FF00"/>
                </a:gs>
              </a:gsLst>
              <a:lin ang="0" scaled="1"/>
            </a:gradFill>
            <a:ln w="9307">
              <a:solidFill>
                <a:srgbClr val="000000"/>
              </a:solidFill>
              <a:prstDash val="solid"/>
            </a:ln>
          </c:spPr>
          <c:dLbls>
            <c:dLbl>
              <c:idx val="3"/>
              <c:layout>
                <c:manualLayout>
                  <c:x val="-2.5208314609429156E-3"/>
                  <c:y val="-1.3846491059006066E-2"/>
                </c:manualLayout>
              </c:layout>
              <c:dLblPos val="outEnd"/>
              <c:showVal val="1"/>
            </c:dLbl>
            <c:dLbl>
              <c:idx val="7"/>
              <c:layout>
                <c:manualLayout>
                  <c:x val="-4.8865381644388672E-3"/>
                  <c:y val="5.8078849727167343E-4"/>
                </c:manualLayout>
              </c:layout>
              <c:dLblPos val="outEnd"/>
              <c:showVal val="1"/>
            </c:dLbl>
            <c:spPr>
              <a:noFill/>
              <a:ln w="18614">
                <a:noFill/>
              </a:ln>
            </c:spPr>
            <c:txPr>
              <a:bodyPr/>
              <a:lstStyle/>
              <a:p>
                <a:pPr>
                  <a:defRPr sz="586" b="1" i="0" u="none" strike="noStrike" baseline="0">
                    <a:solidFill>
                      <a:srgbClr val="000000"/>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762.4</c:v>
                </c:pt>
                <c:pt idx="1">
                  <c:v>932.4</c:v>
                </c:pt>
                <c:pt idx="2">
                  <c:v>1108.8</c:v>
                </c:pt>
                <c:pt idx="3">
                  <c:v>1697.8</c:v>
                </c:pt>
                <c:pt idx="4">
                  <c:v>907</c:v>
                </c:pt>
                <c:pt idx="5">
                  <c:v>930.6</c:v>
                </c:pt>
                <c:pt idx="6">
                  <c:v>930.4</c:v>
                </c:pt>
                <c:pt idx="7">
                  <c:v>964.7</c:v>
                </c:pt>
                <c:pt idx="8">
                  <c:v>1096.3</c:v>
                </c:pt>
                <c:pt idx="9">
                  <c:v>1244.3</c:v>
                </c:pt>
              </c:numCache>
            </c:numRef>
          </c:val>
        </c:ser>
        <c:dLbls>
          <c:showVal val="1"/>
        </c:dLbls>
        <c:axId val="66918272"/>
        <c:axId val="66932736"/>
      </c:barChart>
      <c:catAx>
        <c:axId val="66918272"/>
        <c:scaling>
          <c:orientation val="minMax"/>
        </c:scaling>
        <c:axPos val="b"/>
        <c:title>
          <c:tx>
            <c:rich>
              <a:bodyPr/>
              <a:lstStyle/>
              <a:p>
                <a:pPr>
                  <a:defRPr sz="733" b="1" i="0" u="none" strike="noStrike" baseline="0">
                    <a:solidFill>
                      <a:srgbClr val="000000"/>
                    </a:solidFill>
                    <a:latin typeface="Arial"/>
                    <a:ea typeface="Arial"/>
                    <a:cs typeface="Arial"/>
                  </a:defRPr>
                </a:pPr>
                <a:r>
                  <a:rPr lang="ru-RU"/>
                  <a:t>годы</a:t>
                </a:r>
              </a:p>
            </c:rich>
          </c:tx>
          <c:layout>
            <c:manualLayout>
              <c:xMode val="edge"/>
              <c:yMode val="edge"/>
              <c:x val="0.5145929339477725"/>
              <c:y val="0.82396088019559921"/>
            </c:manualLayout>
          </c:layout>
          <c:spPr>
            <a:noFill/>
            <a:ln w="18614">
              <a:noFill/>
            </a:ln>
          </c:spPr>
        </c:title>
        <c:numFmt formatCode="General" sourceLinked="1"/>
        <c:majorTickMark val="cross"/>
        <c:tickLblPos val="nextTo"/>
        <c:spPr>
          <a:ln w="2327">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66932736"/>
        <c:crosses val="autoZero"/>
        <c:lblAlgn val="ctr"/>
        <c:lblOffset val="100"/>
        <c:tickLblSkip val="1"/>
        <c:tickMarkSkip val="1"/>
      </c:catAx>
      <c:valAx>
        <c:axId val="66932736"/>
        <c:scaling>
          <c:orientation val="minMax"/>
          <c:max val="2500"/>
          <c:min val="0"/>
        </c:scaling>
        <c:axPos val="l"/>
        <c:title>
          <c:tx>
            <c:rich>
              <a:bodyPr/>
              <a:lstStyle/>
              <a:p>
                <a:pPr>
                  <a:defRPr sz="733" b="1" i="0" u="none" strike="noStrike" baseline="0">
                    <a:solidFill>
                      <a:srgbClr val="000000"/>
                    </a:solidFill>
                    <a:latin typeface="Arial"/>
                    <a:ea typeface="Arial"/>
                    <a:cs typeface="Arial"/>
                  </a:defRPr>
                </a:pPr>
                <a:r>
                  <a:rPr lang="ru-RU"/>
                  <a:t>млн.рублей</a:t>
                </a:r>
              </a:p>
            </c:rich>
          </c:tx>
          <c:layout>
            <c:manualLayout>
              <c:xMode val="edge"/>
              <c:yMode val="edge"/>
              <c:x val="1.536098310291859E-2"/>
              <c:y val="0.37897310513447457"/>
            </c:manualLayout>
          </c:layout>
          <c:spPr>
            <a:noFill/>
            <a:ln w="18614">
              <a:noFill/>
            </a:ln>
          </c:spPr>
        </c:title>
        <c:numFmt formatCode="General" sourceLinked="1"/>
        <c:majorTickMark val="cross"/>
        <c:tickLblPos val="nextTo"/>
        <c:spPr>
          <a:ln w="2327">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66918272"/>
        <c:crosses val="autoZero"/>
        <c:crossBetween val="between"/>
        <c:majorUnit val="500"/>
        <c:minorUnit val="500"/>
      </c:valAx>
      <c:spPr>
        <a:gradFill rotWithShape="0">
          <a:gsLst>
            <a:gs pos="0">
              <a:srgbClr val="CCFFCC">
                <a:gamma/>
                <a:shade val="46275"/>
                <a:invGamma/>
              </a:srgbClr>
            </a:gs>
            <a:gs pos="100000">
              <a:srgbClr val="CCFFCC"/>
            </a:gs>
          </a:gsLst>
          <a:path path="rect">
            <a:fillToRect l="50000" t="50000" r="50000" b="50000"/>
          </a:path>
        </a:gradFill>
        <a:ln w="9307">
          <a:solidFill>
            <a:srgbClr val="808080"/>
          </a:solidFill>
          <a:prstDash val="solid"/>
        </a:ln>
      </c:spPr>
    </c:plotArea>
    <c:legend>
      <c:legendPos val="r"/>
      <c:layout>
        <c:manualLayout>
          <c:xMode val="edge"/>
          <c:yMode val="edge"/>
          <c:x val="0.40552995391705088"/>
          <c:y val="0.90220048899755478"/>
          <c:w val="0.23963133640552994"/>
          <c:h val="5.8679706601466965E-2"/>
        </c:manualLayout>
      </c:layout>
      <c:spPr>
        <a:solidFill>
          <a:srgbClr val="FFFFFF"/>
        </a:solidFill>
        <a:ln w="2327">
          <a:solidFill>
            <a:srgbClr val="000000"/>
          </a:solidFill>
          <a:prstDash val="solid"/>
        </a:ln>
      </c:spPr>
      <c:txPr>
        <a:bodyPr/>
        <a:lstStyle/>
        <a:p>
          <a:pPr>
            <a:defRPr sz="674" b="0" i="0" u="none" strike="noStrike" baseline="0">
              <a:solidFill>
                <a:srgbClr val="000000"/>
              </a:solidFill>
              <a:latin typeface="Arial"/>
              <a:ea typeface="Arial"/>
              <a:cs typeface="Arial"/>
            </a:defRPr>
          </a:pPr>
          <a:endParaRPr lang="ru-RU"/>
        </a:p>
      </c:txPr>
    </c:legend>
    <c:plotVisOnly val="1"/>
    <c:dispBlanksAs val="gap"/>
  </c:chart>
  <c:spPr>
    <a:noFill/>
    <a:ln w="2327">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898" b="1" i="0" u="none" strike="noStrike" baseline="0">
                <a:solidFill>
                  <a:srgbClr val="000000"/>
                </a:solidFill>
                <a:latin typeface="Times New Roman"/>
                <a:ea typeface="Times New Roman"/>
                <a:cs typeface="Times New Roman"/>
              </a:defRPr>
            </a:pPr>
            <a:r>
              <a:rPr lang="ru-RU"/>
              <a:t>Оборот общественного питания</a:t>
            </a:r>
          </a:p>
        </c:rich>
      </c:tx>
      <c:layout>
        <c:manualLayout>
          <c:xMode val="edge"/>
          <c:yMode val="edge"/>
          <c:x val="0.31669266770670845"/>
          <c:y val="2.1212121212121213E-2"/>
        </c:manualLayout>
      </c:layout>
      <c:spPr>
        <a:noFill/>
        <a:ln w="18614">
          <a:noFill/>
        </a:ln>
      </c:spPr>
    </c:title>
    <c:view3D>
      <c:hPercent val="45"/>
      <c:depthPercent val="100"/>
      <c:rAngAx val="1"/>
    </c:view3D>
    <c:floor>
      <c:spPr>
        <a:gradFill rotWithShape="0">
          <a:gsLst>
            <a:gs pos="0">
              <a:srgbClr val="FFFF00"/>
            </a:gs>
            <a:gs pos="100000">
              <a:srgbClr val="FFFF99"/>
            </a:gs>
          </a:gsLst>
          <a:lin ang="5400000" scaled="1"/>
        </a:gradFill>
        <a:ln w="9525">
          <a:noFill/>
        </a:ln>
      </c:spPr>
    </c:floor>
    <c:sideWall>
      <c:spPr>
        <a:gradFill rotWithShape="0">
          <a:gsLst>
            <a:gs pos="0">
              <a:srgbClr val="FFFF99"/>
            </a:gs>
            <a:gs pos="100000">
              <a:srgbClr val="FFFF00"/>
            </a:gs>
          </a:gsLst>
          <a:lin ang="5400000" scaled="1"/>
        </a:gradFill>
        <a:ln w="25400">
          <a:noFill/>
        </a:ln>
      </c:spPr>
    </c:sideWall>
    <c:backWall>
      <c:spPr>
        <a:gradFill rotWithShape="0">
          <a:gsLst>
            <a:gs pos="0">
              <a:srgbClr val="FFFF99"/>
            </a:gs>
            <a:gs pos="100000">
              <a:srgbClr val="FFFF00"/>
            </a:gs>
          </a:gsLst>
          <a:lin ang="5400000" scaled="1"/>
        </a:gradFill>
        <a:ln w="25400">
          <a:noFill/>
        </a:ln>
      </c:spPr>
    </c:backWall>
    <c:plotArea>
      <c:layout>
        <c:manualLayout>
          <c:layoutTarget val="inner"/>
          <c:xMode val="edge"/>
          <c:yMode val="edge"/>
          <c:x val="8.2683307332293315E-2"/>
          <c:y val="0.12121212121212124"/>
          <c:w val="0.91731669266770666"/>
          <c:h val="0.68181818181818177"/>
        </c:manualLayout>
      </c:layout>
      <c:bar3DChart>
        <c:barDir val="col"/>
        <c:grouping val="clustered"/>
        <c:ser>
          <c:idx val="0"/>
          <c:order val="0"/>
          <c:tx>
            <c:strRef>
              <c:f>Sheet1!$A$2</c:f>
              <c:strCache>
                <c:ptCount val="1"/>
              </c:strCache>
            </c:strRef>
          </c:tx>
          <c:spPr>
            <a:gradFill rotWithShape="0">
              <a:gsLst>
                <a:gs pos="0">
                  <a:srgbClr val="0000FF"/>
                </a:gs>
                <a:gs pos="100000">
                  <a:srgbClr val="9999FF"/>
                </a:gs>
              </a:gsLst>
              <a:lin ang="0" scaled="1"/>
            </a:gradFill>
            <a:ln w="9307">
              <a:solidFill>
                <a:srgbClr val="000000"/>
              </a:solidFill>
              <a:prstDash val="solid"/>
            </a:ln>
          </c:spPr>
          <c:dLbls>
            <c:dLbl>
              <c:idx val="0"/>
              <c:layout>
                <c:manualLayout>
                  <c:x val="2.5744168231542474E-3"/>
                  <c:y val="-3.1709020263575895E-2"/>
                </c:manualLayout>
              </c:layout>
              <c:showVal val="1"/>
            </c:dLbl>
            <c:dLbl>
              <c:idx val="1"/>
              <c:layout>
                <c:manualLayout>
                  <c:x val="6.8138956365996779E-3"/>
                  <c:y val="-2.4432972351982434E-2"/>
                </c:manualLayout>
              </c:layout>
              <c:showVal val="1"/>
            </c:dLbl>
            <c:dLbl>
              <c:idx val="2"/>
              <c:layout>
                <c:manualLayout>
                  <c:x val="2.3534034907154232E-2"/>
                  <c:y val="-3.3448010557121891E-2"/>
                </c:manualLayout>
              </c:layout>
              <c:showVal val="1"/>
            </c:dLbl>
            <c:dLbl>
              <c:idx val="3"/>
              <c:layout>
                <c:manualLayout>
                  <c:x val="4.3727389202984634E-3"/>
                  <c:y val="-1.7160997982145342E-2"/>
                </c:manualLayout>
              </c:layout>
              <c:showVal val="1"/>
            </c:dLbl>
            <c:dLbl>
              <c:idx val="4"/>
              <c:layout>
                <c:manualLayout>
                  <c:x val="1.7972753385860785E-2"/>
                  <c:y val="-3.5267254305499492E-2"/>
                </c:manualLayout>
              </c:layout>
              <c:showVal val="1"/>
            </c:dLbl>
            <c:dLbl>
              <c:idx val="5"/>
              <c:layout>
                <c:manualLayout>
                  <c:x val="3.4916446064933155E-3"/>
                  <c:y val="-3.068605560169109E-2"/>
                </c:manualLayout>
              </c:layout>
              <c:showVal val="1"/>
            </c:dLbl>
            <c:dLbl>
              <c:idx val="6"/>
              <c:layout>
                <c:manualLayout>
                  <c:x val="5.3955352749140983E-3"/>
                  <c:y val="-3.5899570995183927E-2"/>
                </c:manualLayout>
              </c:layout>
              <c:showVal val="1"/>
            </c:dLbl>
            <c:dLbl>
              <c:idx val="7"/>
              <c:layout>
                <c:manualLayout>
                  <c:x val="3.758242797599635E-3"/>
                  <c:y val="-3.2856738312306392E-2"/>
                </c:manualLayout>
              </c:layout>
              <c:showVal val="1"/>
            </c:dLbl>
            <c:dLbl>
              <c:idx val="8"/>
              <c:layout>
                <c:manualLayout>
                  <c:x val="2.95437855861272E-3"/>
                  <c:y val="-2.7487716632823518E-2"/>
                </c:manualLayout>
              </c:layout>
              <c:showVal val="1"/>
            </c:dLbl>
            <c:dLbl>
              <c:idx val="9"/>
              <c:layout>
                <c:manualLayout>
                  <c:x val="6.4094819492311085E-3"/>
                  <c:y val="-3.5232212481931209E-2"/>
                </c:manualLayout>
              </c:layout>
              <c:showVal val="1"/>
            </c:dLbl>
            <c:spPr>
              <a:noFill/>
              <a:ln w="18614">
                <a:noFill/>
              </a:ln>
            </c:spPr>
            <c:txPr>
              <a:bodyPr/>
              <a:lstStyle/>
              <a:p>
                <a:pPr>
                  <a:defRPr sz="751" b="1" i="0" u="none" strike="noStrike" baseline="0">
                    <a:solidFill>
                      <a:srgbClr val="000000"/>
                    </a:solidFill>
                    <a:latin typeface="Calibri"/>
                    <a:ea typeface="Calibri"/>
                    <a:cs typeface="Calibri"/>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115.1</c:v>
                </c:pt>
                <c:pt idx="1">
                  <c:v>117.9</c:v>
                </c:pt>
                <c:pt idx="2">
                  <c:v>108.6</c:v>
                </c:pt>
                <c:pt idx="3">
                  <c:v>117.2</c:v>
                </c:pt>
                <c:pt idx="4">
                  <c:v>107.9</c:v>
                </c:pt>
                <c:pt idx="5">
                  <c:v>101.5</c:v>
                </c:pt>
                <c:pt idx="6">
                  <c:v>85.5</c:v>
                </c:pt>
                <c:pt idx="7">
                  <c:v>96</c:v>
                </c:pt>
                <c:pt idx="8">
                  <c:v>96.9</c:v>
                </c:pt>
                <c:pt idx="9">
                  <c:v>211.7</c:v>
                </c:pt>
              </c:numCache>
            </c:numRef>
          </c:val>
        </c:ser>
        <c:gapDepth val="0"/>
        <c:shape val="box"/>
        <c:axId val="353956608"/>
        <c:axId val="353958528"/>
        <c:axId val="0"/>
      </c:bar3DChart>
      <c:catAx>
        <c:axId val="353956608"/>
        <c:scaling>
          <c:orientation val="minMax"/>
        </c:scaling>
        <c:axPos val="b"/>
        <c:title>
          <c:tx>
            <c:rich>
              <a:bodyPr/>
              <a:lstStyle/>
              <a:p>
                <a:pPr>
                  <a:defRPr sz="641" b="1" i="0" u="none" strike="noStrike" baseline="0">
                    <a:solidFill>
                      <a:srgbClr val="000000"/>
                    </a:solidFill>
                    <a:latin typeface="Times New Roman"/>
                    <a:ea typeface="Times New Roman"/>
                    <a:cs typeface="Times New Roman"/>
                  </a:defRPr>
                </a:pPr>
                <a:r>
                  <a:rPr lang="ru-RU"/>
                  <a:t>год</a:t>
                </a:r>
              </a:p>
            </c:rich>
          </c:tx>
          <c:layout>
            <c:manualLayout>
              <c:xMode val="edge"/>
              <c:yMode val="edge"/>
              <c:x val="0.52262090483619361"/>
              <c:y val="0.89090909090909109"/>
            </c:manualLayout>
          </c:layout>
          <c:spPr>
            <a:noFill/>
            <a:ln w="18614">
              <a:noFill/>
            </a:ln>
          </c:spPr>
        </c:title>
        <c:numFmt formatCode="General" sourceLinked="1"/>
        <c:tickLblPos val="low"/>
        <c:spPr>
          <a:ln w="2327">
            <a:solidFill>
              <a:srgbClr val="000000"/>
            </a:solidFill>
            <a:prstDash val="solid"/>
          </a:ln>
        </c:spPr>
        <c:txPr>
          <a:bodyPr rot="0" vert="horz"/>
          <a:lstStyle/>
          <a:p>
            <a:pPr>
              <a:defRPr sz="751" b="1" i="0" u="none" strike="noStrike" baseline="0">
                <a:solidFill>
                  <a:srgbClr val="000000"/>
                </a:solidFill>
                <a:latin typeface="Calibri"/>
                <a:ea typeface="Calibri"/>
                <a:cs typeface="Calibri"/>
              </a:defRPr>
            </a:pPr>
            <a:endParaRPr lang="ru-RU"/>
          </a:p>
        </c:txPr>
        <c:crossAx val="353958528"/>
        <c:crosses val="autoZero"/>
        <c:auto val="1"/>
        <c:lblAlgn val="ctr"/>
        <c:lblOffset val="100"/>
        <c:tickLblSkip val="1"/>
        <c:tickMarkSkip val="1"/>
      </c:catAx>
      <c:valAx>
        <c:axId val="353958528"/>
        <c:scaling>
          <c:orientation val="minMax"/>
        </c:scaling>
        <c:axPos val="l"/>
        <c:majorGridlines>
          <c:spPr>
            <a:ln w="9307">
              <a:solidFill>
                <a:srgbClr val="FFFFFF"/>
              </a:solidFill>
              <a:prstDash val="solid"/>
            </a:ln>
          </c:spPr>
        </c:majorGridlines>
        <c:title>
          <c:tx>
            <c:rich>
              <a:bodyPr/>
              <a:lstStyle/>
              <a:p>
                <a:pPr>
                  <a:defRPr sz="641" b="1"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7.8003120124804995E-2"/>
              <c:y val="0.36363636363636376"/>
            </c:manualLayout>
          </c:layout>
          <c:spPr>
            <a:noFill/>
            <a:ln w="18614">
              <a:noFill/>
            </a:ln>
          </c:spPr>
        </c:title>
        <c:numFmt formatCode="General" sourceLinked="1"/>
        <c:tickLblPos val="nextTo"/>
        <c:spPr>
          <a:ln w="2327">
            <a:solidFill>
              <a:srgbClr val="000000"/>
            </a:solidFill>
            <a:prstDash val="solid"/>
          </a:ln>
        </c:spPr>
        <c:txPr>
          <a:bodyPr rot="0" vert="horz"/>
          <a:lstStyle/>
          <a:p>
            <a:pPr>
              <a:defRPr sz="751" b="1" i="0" u="none" strike="noStrike" baseline="0">
                <a:solidFill>
                  <a:srgbClr val="000000"/>
                </a:solidFill>
                <a:latin typeface="Calibri"/>
                <a:ea typeface="Calibri"/>
                <a:cs typeface="Calibri"/>
              </a:defRPr>
            </a:pPr>
            <a:endParaRPr lang="ru-RU"/>
          </a:p>
        </c:txPr>
        <c:crossAx val="353956608"/>
        <c:crosses val="autoZero"/>
        <c:crossBetween val="between"/>
      </c:valAx>
      <c:spPr>
        <a:noFill/>
        <a:ln w="18614">
          <a:noFill/>
        </a:ln>
      </c:spPr>
    </c:plotArea>
    <c:plotVisOnly val="1"/>
    <c:dispBlanksAs val="gap"/>
  </c:chart>
  <c:spPr>
    <a:noFill/>
    <a:ln>
      <a:noFill/>
    </a:ln>
  </c:spPr>
  <c:txPr>
    <a:bodyPr/>
    <a:lstStyle/>
    <a:p>
      <a:pPr>
        <a:defRPr sz="1063"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6" b="1" i="0" u="none" strike="noStrike" baseline="0">
                <a:solidFill>
                  <a:srgbClr val="000000"/>
                </a:solidFill>
                <a:latin typeface="Times New Roman"/>
                <a:ea typeface="Times New Roman"/>
                <a:cs typeface="Times New Roman"/>
              </a:defRPr>
            </a:pPr>
            <a:r>
              <a:rPr lang="ru-RU"/>
              <a:t>Оборот платных услуг населению
по крупным и средним организациям</a:t>
            </a:r>
          </a:p>
        </c:rich>
      </c:tx>
      <c:layout>
        <c:manualLayout>
          <c:xMode val="edge"/>
          <c:yMode val="edge"/>
          <c:x val="0.24885496183206118"/>
          <c:y val="3.0726256983240219E-2"/>
        </c:manualLayout>
      </c:layout>
      <c:spPr>
        <a:noFill/>
        <a:ln w="18620">
          <a:noFill/>
        </a:ln>
      </c:spPr>
    </c:title>
    <c:plotArea>
      <c:layout>
        <c:manualLayout>
          <c:layoutTarget val="inner"/>
          <c:xMode val="edge"/>
          <c:yMode val="edge"/>
          <c:x val="0.10076335877862601"/>
          <c:y val="0.23184357541899442"/>
          <c:w val="0.87328244274809164"/>
          <c:h val="0.49720670391061472"/>
        </c:manualLayout>
      </c:layout>
      <c:barChart>
        <c:barDir val="col"/>
        <c:grouping val="clustered"/>
        <c:ser>
          <c:idx val="1"/>
          <c:order val="0"/>
          <c:tx>
            <c:strRef>
              <c:f>Sheet1!$A$2</c:f>
              <c:strCache>
                <c:ptCount val="1"/>
                <c:pt idx="0">
                  <c:v>в действующих ценах</c:v>
                </c:pt>
              </c:strCache>
            </c:strRef>
          </c:tx>
          <c:spPr>
            <a:gradFill rotWithShape="0">
              <a:gsLst>
                <a:gs pos="0">
                  <a:srgbClr val="00FF00"/>
                </a:gs>
                <a:gs pos="50000">
                  <a:srgbClr val="00FF00">
                    <a:gamma/>
                    <a:shade val="46275"/>
                    <a:invGamma/>
                  </a:srgbClr>
                </a:gs>
                <a:gs pos="100000">
                  <a:srgbClr val="00FF00"/>
                </a:gs>
              </a:gsLst>
              <a:lin ang="0" scaled="1"/>
            </a:gradFill>
            <a:ln w="9310">
              <a:solidFill>
                <a:srgbClr val="000000"/>
              </a:solidFill>
              <a:prstDash val="solid"/>
            </a:ln>
          </c:spPr>
          <c:dLbls>
            <c:dLbl>
              <c:idx val="3"/>
              <c:layout>
                <c:manualLayout>
                  <c:x val="-9.680260924565978E-4"/>
                  <c:y val="-1.4735634827194831E-2"/>
                </c:manualLayout>
              </c:layout>
              <c:dLblPos val="outEnd"/>
              <c:showVal val="1"/>
            </c:dLbl>
            <c:dLbl>
              <c:idx val="7"/>
              <c:layout>
                <c:manualLayout>
                  <c:x val="-4.0358230435744271E-3"/>
                  <c:y val="-3.4718740917129283E-3"/>
                </c:manualLayout>
              </c:layout>
              <c:dLblPos val="outEnd"/>
              <c:showVal val="1"/>
            </c:dLbl>
            <c:spPr>
              <a:noFill/>
              <a:ln w="18620">
                <a:noFill/>
              </a:ln>
            </c:spPr>
            <c:txPr>
              <a:bodyPr/>
              <a:lstStyle/>
              <a:p>
                <a:pPr>
                  <a:defRPr sz="586" b="1" i="0" u="none" strike="noStrike" baseline="0">
                    <a:solidFill>
                      <a:srgbClr val="000000"/>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General</c:formatCode>
                <c:ptCount val="10"/>
                <c:pt idx="0">
                  <c:v>221.3</c:v>
                </c:pt>
                <c:pt idx="1">
                  <c:v>246.7</c:v>
                </c:pt>
                <c:pt idx="2">
                  <c:v>280.2</c:v>
                </c:pt>
                <c:pt idx="3">
                  <c:v>339.3</c:v>
                </c:pt>
                <c:pt idx="4">
                  <c:v>356</c:v>
                </c:pt>
                <c:pt idx="5">
                  <c:v>357.4</c:v>
                </c:pt>
                <c:pt idx="6">
                  <c:v>337.1</c:v>
                </c:pt>
                <c:pt idx="7">
                  <c:v>395</c:v>
                </c:pt>
                <c:pt idx="8">
                  <c:v>407.5</c:v>
                </c:pt>
                <c:pt idx="9">
                  <c:v>425.8</c:v>
                </c:pt>
              </c:numCache>
            </c:numRef>
          </c:val>
        </c:ser>
        <c:dLbls>
          <c:showVal val="1"/>
        </c:dLbls>
        <c:axId val="358201600"/>
        <c:axId val="198042368"/>
      </c:barChart>
      <c:catAx>
        <c:axId val="358201600"/>
        <c:scaling>
          <c:orientation val="minMax"/>
        </c:scaling>
        <c:axPos val="b"/>
        <c:title>
          <c:tx>
            <c:rich>
              <a:bodyPr/>
              <a:lstStyle/>
              <a:p>
                <a:pPr>
                  <a:defRPr sz="733" b="1" i="0" u="none" strike="noStrike" baseline="0">
                    <a:solidFill>
                      <a:srgbClr val="000000"/>
                    </a:solidFill>
                    <a:latin typeface="Arial"/>
                    <a:ea typeface="Arial"/>
                    <a:cs typeface="Arial"/>
                  </a:defRPr>
                </a:pPr>
                <a:r>
                  <a:rPr lang="ru-RU"/>
                  <a:t>годы</a:t>
                </a:r>
              </a:p>
            </c:rich>
          </c:tx>
          <c:layout>
            <c:manualLayout>
              <c:xMode val="edge"/>
              <c:yMode val="edge"/>
              <c:x val="0.50992366412213741"/>
              <c:y val="0.81564245810055891"/>
            </c:manualLayout>
          </c:layout>
          <c:spPr>
            <a:noFill/>
            <a:ln w="18620">
              <a:noFill/>
            </a:ln>
          </c:spPr>
        </c:title>
        <c:numFmt formatCode="General" sourceLinked="1"/>
        <c:majorTickMark val="cross"/>
        <c:tickLblPos val="nextTo"/>
        <c:spPr>
          <a:ln w="2327">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198042368"/>
        <c:crosses val="autoZero"/>
        <c:lblAlgn val="ctr"/>
        <c:lblOffset val="100"/>
        <c:tickLblSkip val="1"/>
        <c:tickMarkSkip val="1"/>
      </c:catAx>
      <c:valAx>
        <c:axId val="198042368"/>
        <c:scaling>
          <c:orientation val="minMax"/>
          <c:max val="450"/>
          <c:min val="0"/>
        </c:scaling>
        <c:axPos val="l"/>
        <c:title>
          <c:tx>
            <c:rich>
              <a:bodyPr/>
              <a:lstStyle/>
              <a:p>
                <a:pPr>
                  <a:defRPr sz="733" b="1" i="0" u="none" strike="noStrike" baseline="0">
                    <a:solidFill>
                      <a:srgbClr val="000000"/>
                    </a:solidFill>
                    <a:latin typeface="Arial"/>
                    <a:ea typeface="Arial"/>
                    <a:cs typeface="Arial"/>
                  </a:defRPr>
                </a:pPr>
                <a:r>
                  <a:rPr lang="ru-RU"/>
                  <a:t>млн.рублей</a:t>
                </a:r>
              </a:p>
            </c:rich>
          </c:tx>
          <c:layout>
            <c:manualLayout>
              <c:xMode val="edge"/>
              <c:yMode val="edge"/>
              <c:x val="1.5267175572519087E-2"/>
              <c:y val="0.36871508379888285"/>
            </c:manualLayout>
          </c:layout>
          <c:spPr>
            <a:noFill/>
            <a:ln w="18620">
              <a:noFill/>
            </a:ln>
          </c:spPr>
        </c:title>
        <c:numFmt formatCode="General" sourceLinked="1"/>
        <c:majorTickMark val="cross"/>
        <c:tickLblPos val="nextTo"/>
        <c:spPr>
          <a:ln w="2327">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358201600"/>
        <c:crosses val="autoZero"/>
        <c:crossBetween val="between"/>
        <c:majorUnit val="50"/>
        <c:minorUnit val="50"/>
      </c:valAx>
      <c:spPr>
        <a:gradFill rotWithShape="0">
          <a:gsLst>
            <a:gs pos="0">
              <a:srgbClr val="CCFFCC">
                <a:gamma/>
                <a:shade val="46275"/>
                <a:invGamma/>
              </a:srgbClr>
            </a:gs>
            <a:gs pos="100000">
              <a:srgbClr val="CCFFCC"/>
            </a:gs>
          </a:gsLst>
          <a:path path="rect">
            <a:fillToRect l="50000" t="50000" r="50000" b="50000"/>
          </a:path>
        </a:gradFill>
        <a:ln w="9310">
          <a:solidFill>
            <a:srgbClr val="808080"/>
          </a:solidFill>
          <a:prstDash val="solid"/>
        </a:ln>
      </c:spPr>
    </c:plotArea>
    <c:legend>
      <c:legendPos val="r"/>
      <c:layout>
        <c:manualLayout>
          <c:xMode val="edge"/>
          <c:yMode val="edge"/>
          <c:x val="0.4"/>
          <c:y val="0.89385474860335201"/>
          <c:w val="0.23816793893129776"/>
          <c:h val="6.7039106145251409E-2"/>
        </c:manualLayout>
      </c:layout>
      <c:spPr>
        <a:solidFill>
          <a:srgbClr val="FFFFFF"/>
        </a:solidFill>
        <a:ln w="2327">
          <a:solidFill>
            <a:srgbClr val="000000"/>
          </a:solidFill>
          <a:prstDash val="solid"/>
        </a:ln>
      </c:spPr>
      <c:txPr>
        <a:bodyPr/>
        <a:lstStyle/>
        <a:p>
          <a:pPr>
            <a:defRPr sz="674" b="0" i="0" u="none" strike="noStrike" baseline="0">
              <a:solidFill>
                <a:srgbClr val="000000"/>
              </a:solidFill>
              <a:latin typeface="Arial"/>
              <a:ea typeface="Arial"/>
              <a:cs typeface="Arial"/>
            </a:defRPr>
          </a:pPr>
          <a:endParaRPr lang="ru-RU"/>
        </a:p>
      </c:txPr>
    </c:legend>
    <c:plotVisOnly val="1"/>
    <c:dispBlanksAs val="gap"/>
  </c:chart>
  <c:spPr>
    <a:noFill/>
    <a:ln w="2327">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5" b="1" i="0" u="none" strike="noStrike" baseline="0">
                <a:solidFill>
                  <a:srgbClr val="000000"/>
                </a:solidFill>
                <a:latin typeface="Times New Roman"/>
                <a:ea typeface="Times New Roman"/>
                <a:cs typeface="Times New Roman"/>
              </a:defRPr>
            </a:pPr>
            <a:r>
              <a:rPr lang="ru-RU"/>
              <a:t>Население Пластовского муниципального района 
(на 01.01.2008 г)</a:t>
            </a:r>
          </a:p>
        </c:rich>
      </c:tx>
      <c:layout>
        <c:manualLayout>
          <c:xMode val="edge"/>
          <c:yMode val="edge"/>
          <c:x val="0.17343173431734327"/>
          <c:y val="0"/>
        </c:manualLayout>
      </c:layout>
      <c:spPr>
        <a:noFill/>
        <a:ln w="18631">
          <a:noFill/>
        </a:ln>
      </c:spPr>
    </c:title>
    <c:view3D>
      <c:perspective val="0"/>
    </c:view3D>
    <c:plotArea>
      <c:layout>
        <c:manualLayout>
          <c:layoutTarget val="inner"/>
          <c:xMode val="edge"/>
          <c:yMode val="edge"/>
          <c:x val="0.367158671586716"/>
          <c:y val="0.35714285714285737"/>
          <c:w val="0.3210332103321033"/>
          <c:h val="0.32857142857142857"/>
        </c:manualLayout>
      </c:layout>
      <c:pie3DChart>
        <c:varyColors val="1"/>
        <c:ser>
          <c:idx val="0"/>
          <c:order val="0"/>
          <c:tx>
            <c:strRef>
              <c:f>Sheet1!$A$2</c:f>
              <c:strCache>
                <c:ptCount val="1"/>
              </c:strCache>
            </c:strRef>
          </c:tx>
          <c:spPr>
            <a:solidFill>
              <a:srgbClr val="FF6600"/>
            </a:solidFill>
            <a:ln w="9315">
              <a:solidFill>
                <a:srgbClr val="000000"/>
              </a:solidFill>
              <a:prstDash val="solid"/>
            </a:ln>
          </c:spPr>
          <c:explosion val="25"/>
          <c:dPt>
            <c:idx val="1"/>
            <c:spPr>
              <a:solidFill>
                <a:srgbClr val="9999FF"/>
              </a:solidFill>
              <a:ln w="9315">
                <a:solidFill>
                  <a:srgbClr val="000000"/>
                </a:solidFill>
                <a:prstDash val="solid"/>
              </a:ln>
            </c:spPr>
          </c:dPt>
          <c:dLbls>
            <c:dLbl>
              <c:idx val="0"/>
              <c:layout>
                <c:manualLayout>
                  <c:x val="1.7117134340442458E-2"/>
                  <c:y val="-0.10018834192947257"/>
                </c:manualLayout>
              </c:layout>
              <c:tx>
                <c:rich>
                  <a:bodyPr/>
                  <a:lstStyle/>
                  <a:p>
                    <a:pPr>
                      <a:defRPr sz="587" b="1" i="0" u="none" strike="noStrike" baseline="0">
                        <a:solidFill>
                          <a:srgbClr val="000000"/>
                        </a:solidFill>
                        <a:latin typeface="Times New Roman"/>
                        <a:ea typeface="Times New Roman"/>
                        <a:cs typeface="Times New Roman"/>
                      </a:defRPr>
                    </a:pPr>
                    <a:r>
                      <a:rPr lang="ru-RU"/>
                      <a:t>городское население
66%</a:t>
                    </a:r>
                  </a:p>
                </c:rich>
              </c:tx>
              <c:spPr>
                <a:noFill/>
                <a:ln w="18631">
                  <a:noFill/>
                </a:ln>
              </c:spPr>
              <c:dLblPos val="bestFit"/>
              <c:showLegendKey val="1"/>
            </c:dLbl>
            <c:dLbl>
              <c:idx val="1"/>
              <c:layout>
                <c:manualLayout>
                  <c:x val="-1.9991140150956238E-2"/>
                  <c:y val="-4.1986301970376991E-2"/>
                </c:manualLayout>
              </c:layout>
              <c:tx>
                <c:rich>
                  <a:bodyPr/>
                  <a:lstStyle/>
                  <a:p>
                    <a:pPr>
                      <a:defRPr sz="587" b="1" i="0" u="none" strike="noStrike" baseline="0">
                        <a:solidFill>
                          <a:srgbClr val="000000"/>
                        </a:solidFill>
                        <a:latin typeface="Times New Roman"/>
                        <a:ea typeface="Times New Roman"/>
                        <a:cs typeface="Times New Roman"/>
                      </a:defRPr>
                    </a:pPr>
                    <a:r>
                      <a:rPr lang="ru-RU"/>
                      <a:t>сельское население
34%</a:t>
                    </a:r>
                  </a:p>
                </c:rich>
              </c:tx>
              <c:spPr>
                <a:noFill/>
                <a:ln w="18631">
                  <a:noFill/>
                </a:ln>
              </c:spPr>
              <c:dLblPos val="bestFit"/>
              <c:showLegendKey val="1"/>
            </c:dLbl>
            <c:numFmt formatCode="0%" sourceLinked="0"/>
            <c:spPr>
              <a:noFill/>
              <a:ln w="18631">
                <a:noFill/>
              </a:ln>
            </c:spPr>
            <c:txPr>
              <a:bodyPr/>
              <a:lstStyle/>
              <a:p>
                <a:pPr>
                  <a:defRPr sz="587" b="1" i="0" u="none" strike="noStrike" baseline="0">
                    <a:solidFill>
                      <a:srgbClr val="000000"/>
                    </a:solidFill>
                    <a:latin typeface="Times New Roman"/>
                    <a:ea typeface="Times New Roman"/>
                    <a:cs typeface="Times New Roman"/>
                  </a:defRPr>
                </a:pPr>
                <a:endParaRPr lang="ru-RU"/>
              </a:p>
            </c:txPr>
            <c:showLegendKey val="1"/>
            <c:showCatName val="1"/>
            <c:showPercent val="1"/>
            <c:showLeaderLines val="1"/>
            <c:leaderLines>
              <c:spPr>
                <a:ln w="18631">
                  <a:solidFill>
                    <a:srgbClr val="000000"/>
                  </a:solidFill>
                  <a:prstDash val="solid"/>
                </a:ln>
              </c:spPr>
            </c:leaderLines>
          </c:dLbls>
          <c:cat>
            <c:strRef>
              <c:f>Sheet1!$B$1:$C$1</c:f>
              <c:strCache>
                <c:ptCount val="2"/>
                <c:pt idx="0">
                  <c:v>городское население</c:v>
                </c:pt>
                <c:pt idx="1">
                  <c:v>сельское население</c:v>
                </c:pt>
              </c:strCache>
            </c:strRef>
          </c:cat>
          <c:val>
            <c:numRef>
              <c:f>Sheet1!$B$2:$C$2</c:f>
              <c:numCache>
                <c:formatCode>General</c:formatCode>
                <c:ptCount val="2"/>
                <c:pt idx="0">
                  <c:v>17391</c:v>
                </c:pt>
                <c:pt idx="1">
                  <c:v>8838</c:v>
                </c:pt>
              </c:numCache>
            </c:numRef>
          </c:val>
        </c:ser>
        <c:dLbls>
          <c:showLegendKey val="1"/>
          <c:showCatName val="1"/>
          <c:showPercent val="1"/>
        </c:dLbls>
      </c:pie3DChart>
      <c:spPr>
        <a:solidFill>
          <a:srgbClr val="C0C0C0"/>
        </a:solidFill>
        <a:ln w="9315">
          <a:solidFill>
            <a:srgbClr val="808080"/>
          </a:solidFill>
          <a:prstDash val="solid"/>
        </a:ln>
      </c:spPr>
    </c:plotArea>
    <c:legend>
      <c:legendPos val="b"/>
      <c:layout>
        <c:manualLayout>
          <c:xMode val="edge"/>
          <c:yMode val="edge"/>
          <c:x val="0.27121771217712176"/>
          <c:y val="0.87142857142857189"/>
          <c:w val="0.47047970479704815"/>
          <c:h val="0.10952380952380956"/>
        </c:manualLayout>
      </c:layout>
      <c:spPr>
        <a:noFill/>
        <a:ln w="2329">
          <a:solidFill>
            <a:srgbClr val="000000"/>
          </a:solidFill>
          <a:prstDash val="solid"/>
        </a:ln>
      </c:spPr>
      <c:txPr>
        <a:bodyPr/>
        <a:lstStyle/>
        <a:p>
          <a:pPr>
            <a:defRPr sz="60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678"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6" b="1" i="0" u="none" strike="noStrike" baseline="0">
                <a:solidFill>
                  <a:srgbClr val="000000"/>
                </a:solidFill>
                <a:latin typeface="Times New Roman"/>
                <a:ea typeface="Times New Roman"/>
                <a:cs typeface="Times New Roman"/>
              </a:defRPr>
            </a:pPr>
            <a:r>
              <a:rPr lang="ru-RU"/>
              <a:t>Население Пластовского муниципального района 
(на 01.01.2019 г)</a:t>
            </a:r>
          </a:p>
        </c:rich>
      </c:tx>
      <c:layout>
        <c:manualLayout>
          <c:xMode val="edge"/>
          <c:yMode val="edge"/>
          <c:x val="0.19343696027633858"/>
          <c:y val="0"/>
        </c:manualLayout>
      </c:layout>
      <c:spPr>
        <a:noFill/>
        <a:ln w="18649">
          <a:noFill/>
        </a:ln>
      </c:spPr>
    </c:title>
    <c:view3D>
      <c:perspective val="0"/>
    </c:view3D>
    <c:plotArea>
      <c:layout>
        <c:manualLayout>
          <c:layoutTarget val="inner"/>
          <c:xMode val="edge"/>
          <c:yMode val="edge"/>
          <c:x val="0.36269430051813473"/>
          <c:y val="0.32051282051282076"/>
          <c:w val="0.3264248704663214"/>
          <c:h val="0.32051282051282076"/>
        </c:manualLayout>
      </c:layout>
      <c:pie3DChart>
        <c:varyColors val="1"/>
        <c:ser>
          <c:idx val="0"/>
          <c:order val="0"/>
          <c:tx>
            <c:strRef>
              <c:f>Sheet1!$A$2</c:f>
              <c:strCache>
                <c:ptCount val="1"/>
              </c:strCache>
            </c:strRef>
          </c:tx>
          <c:spPr>
            <a:solidFill>
              <a:srgbClr val="9999FF"/>
            </a:solidFill>
            <a:ln w="9324">
              <a:solidFill>
                <a:srgbClr val="000000"/>
              </a:solidFill>
              <a:prstDash val="solid"/>
            </a:ln>
          </c:spPr>
          <c:explosion val="25"/>
          <c:dPt>
            <c:idx val="0"/>
            <c:spPr>
              <a:solidFill>
                <a:srgbClr val="FF6600"/>
              </a:solidFill>
              <a:ln w="9324">
                <a:solidFill>
                  <a:srgbClr val="000000"/>
                </a:solidFill>
                <a:prstDash val="solid"/>
              </a:ln>
            </c:spPr>
          </c:dPt>
          <c:dLbls>
            <c:dLbl>
              <c:idx val="0"/>
              <c:layout>
                <c:manualLayout>
                  <c:x val="2.4061461110762218E-2"/>
                  <c:y val="-9.6716840709673055E-2"/>
                </c:manualLayout>
              </c:layout>
              <c:tx>
                <c:rich>
                  <a:bodyPr/>
                  <a:lstStyle/>
                  <a:p>
                    <a:pPr>
                      <a:defRPr sz="642" b="1" i="0" u="none" strike="noStrike" baseline="0">
                        <a:solidFill>
                          <a:srgbClr val="000000"/>
                        </a:solidFill>
                        <a:latin typeface="Times New Roman"/>
                        <a:ea typeface="Times New Roman"/>
                        <a:cs typeface="Times New Roman"/>
                      </a:defRPr>
                    </a:pPr>
                    <a:r>
                      <a:rPr lang="ru-RU"/>
                      <a:t>городское население
68,6%</a:t>
                    </a:r>
                  </a:p>
                </c:rich>
              </c:tx>
              <c:spPr>
                <a:noFill/>
                <a:ln w="18649">
                  <a:noFill/>
                </a:ln>
              </c:spPr>
              <c:dLblPos val="bestFit"/>
              <c:showLegendKey val="1"/>
            </c:dLbl>
            <c:dLbl>
              <c:idx val="1"/>
              <c:layout>
                <c:manualLayout>
                  <c:x val="-1.2901611594170102E-2"/>
                  <c:y val="-7.0605114038408801E-2"/>
                </c:manualLayout>
              </c:layout>
              <c:tx>
                <c:rich>
                  <a:bodyPr/>
                  <a:lstStyle/>
                  <a:p>
                    <a:pPr>
                      <a:defRPr sz="642" b="1" i="0" u="none" strike="noStrike" baseline="0">
                        <a:solidFill>
                          <a:srgbClr val="000000"/>
                        </a:solidFill>
                        <a:latin typeface="Times New Roman"/>
                        <a:ea typeface="Times New Roman"/>
                        <a:cs typeface="Times New Roman"/>
                      </a:defRPr>
                    </a:pPr>
                    <a:r>
                      <a:rPr lang="ru-RU"/>
                      <a:t>сельское население
31,4%</a:t>
                    </a:r>
                  </a:p>
                </c:rich>
              </c:tx>
              <c:spPr>
                <a:noFill/>
                <a:ln w="18649">
                  <a:noFill/>
                </a:ln>
              </c:spPr>
              <c:dLblPos val="bestFit"/>
              <c:showLegendKey val="1"/>
            </c:dLbl>
            <c:numFmt formatCode="0%" sourceLinked="0"/>
            <c:spPr>
              <a:noFill/>
              <a:ln w="18649">
                <a:noFill/>
              </a:ln>
            </c:spPr>
            <c:txPr>
              <a:bodyPr/>
              <a:lstStyle/>
              <a:p>
                <a:pPr>
                  <a:defRPr sz="642" b="1" i="0" u="none" strike="noStrike" baseline="0">
                    <a:solidFill>
                      <a:srgbClr val="000000"/>
                    </a:solidFill>
                    <a:latin typeface="Calibri"/>
                    <a:ea typeface="Calibri"/>
                    <a:cs typeface="Calibri"/>
                  </a:defRPr>
                </a:pPr>
                <a:endParaRPr lang="ru-RU"/>
              </a:p>
            </c:txPr>
            <c:showLegendKey val="1"/>
            <c:showCatName val="1"/>
            <c:showPercent val="1"/>
            <c:showLeaderLines val="1"/>
            <c:leaderLines>
              <c:spPr>
                <a:ln w="18649">
                  <a:solidFill>
                    <a:srgbClr val="000000"/>
                  </a:solidFill>
                  <a:prstDash val="solid"/>
                </a:ln>
              </c:spPr>
            </c:leaderLines>
          </c:dLbls>
          <c:cat>
            <c:strRef>
              <c:f>Sheet1!$B$1:$C$1</c:f>
              <c:strCache>
                <c:ptCount val="2"/>
                <c:pt idx="0">
                  <c:v>городское население</c:v>
                </c:pt>
                <c:pt idx="1">
                  <c:v>сельское население</c:v>
                </c:pt>
              </c:strCache>
            </c:strRef>
          </c:cat>
          <c:val>
            <c:numRef>
              <c:f>Sheet1!$B$2:$C$2</c:f>
              <c:numCache>
                <c:formatCode>General</c:formatCode>
                <c:ptCount val="2"/>
                <c:pt idx="0">
                  <c:v>17260</c:v>
                </c:pt>
                <c:pt idx="1">
                  <c:v>7900</c:v>
                </c:pt>
              </c:numCache>
            </c:numRef>
          </c:val>
        </c:ser>
        <c:dLbls>
          <c:showLegendKey val="1"/>
          <c:showCatName val="1"/>
          <c:showPercent val="1"/>
        </c:dLbls>
      </c:pie3DChart>
      <c:spPr>
        <a:solidFill>
          <a:srgbClr val="C0C0C0"/>
        </a:solidFill>
        <a:ln w="9324">
          <a:solidFill>
            <a:srgbClr val="808080"/>
          </a:solidFill>
          <a:prstDash val="solid"/>
        </a:ln>
      </c:spPr>
    </c:plotArea>
    <c:legend>
      <c:legendPos val="b"/>
      <c:layout>
        <c:manualLayout>
          <c:xMode val="edge"/>
          <c:yMode val="edge"/>
          <c:x val="0.26770293609671836"/>
          <c:y val="0.88461538461538469"/>
          <c:w val="0.47322970639032824"/>
          <c:h val="0.10256410256410259"/>
        </c:manualLayout>
      </c:layout>
      <c:spPr>
        <a:noFill/>
        <a:ln w="2331">
          <a:solidFill>
            <a:srgbClr val="000000"/>
          </a:solidFill>
          <a:prstDash val="solid"/>
        </a:ln>
      </c:spPr>
      <c:txPr>
        <a:bodyPr/>
        <a:lstStyle/>
        <a:p>
          <a:pPr>
            <a:defRPr sz="67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753"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9" b="1" i="0" u="none" strike="noStrike" baseline="0">
                <a:solidFill>
                  <a:srgbClr val="000000"/>
                </a:solidFill>
                <a:latin typeface="Times New Roman"/>
                <a:ea typeface="Times New Roman"/>
                <a:cs typeface="Times New Roman"/>
              </a:defRPr>
            </a:pPr>
            <a:r>
              <a:rPr lang="ru-RU"/>
              <a:t>Рождаемость и смертность в Пластовском муниципальном районе (на 1000 человек населения) 
в 2009-2018 годах</a:t>
            </a:r>
          </a:p>
        </c:rich>
      </c:tx>
      <c:layout>
        <c:manualLayout>
          <c:xMode val="edge"/>
          <c:yMode val="edge"/>
          <c:x val="0.12359550561797752"/>
          <c:y val="2.0512820512820516E-2"/>
        </c:manualLayout>
      </c:layout>
      <c:spPr>
        <a:noFill/>
        <a:ln w="18677">
          <a:noFill/>
        </a:ln>
      </c:spPr>
    </c:title>
    <c:plotArea>
      <c:layout>
        <c:manualLayout>
          <c:layoutTarget val="inner"/>
          <c:xMode val="edge"/>
          <c:yMode val="edge"/>
          <c:x val="6.2600321027287339E-2"/>
          <c:y val="0.31282051282051293"/>
          <c:w val="0.87158908507223087"/>
          <c:h val="0.50256410256410255"/>
        </c:manualLayout>
      </c:layout>
      <c:lineChart>
        <c:grouping val="standard"/>
        <c:ser>
          <c:idx val="0"/>
          <c:order val="0"/>
          <c:tx>
            <c:strRef>
              <c:f>Sheet1!$A$2</c:f>
              <c:strCache>
                <c:ptCount val="1"/>
                <c:pt idx="0">
                  <c:v>рождаемость</c:v>
                </c:pt>
              </c:strCache>
            </c:strRef>
          </c:tx>
          <c:spPr>
            <a:ln w="28016">
              <a:solidFill>
                <a:srgbClr val="00FF00"/>
              </a:solidFill>
              <a:prstDash val="solid"/>
            </a:ln>
          </c:spPr>
          <c:marker>
            <c:symbol val="square"/>
            <c:size val="3"/>
            <c:spPr>
              <a:solidFill>
                <a:srgbClr val="00FF00"/>
              </a:solidFill>
              <a:ln>
                <a:solidFill>
                  <a:srgbClr val="00FF00"/>
                </a:solidFill>
                <a:prstDash val="solid"/>
              </a:ln>
            </c:spPr>
          </c:marker>
          <c:dLbls>
            <c:dLbl>
              <c:idx val="1"/>
              <c:layout>
                <c:manualLayout>
                  <c:x val="-3.4003379155440681E-2"/>
                  <c:y val="1.4526959433714454E-2"/>
                </c:manualLayout>
              </c:layout>
              <c:dLblPos val="r"/>
              <c:showVal val="1"/>
            </c:dLbl>
            <c:dLbl>
              <c:idx val="2"/>
              <c:layout>
                <c:manualLayout>
                  <c:x val="-2.1643804321283468E-2"/>
                  <c:y val="2.7491229588204279E-2"/>
                </c:manualLayout>
              </c:layout>
              <c:dLblPos val="r"/>
              <c:showVal val="1"/>
            </c:dLbl>
            <c:dLbl>
              <c:idx val="3"/>
              <c:layout>
                <c:manualLayout>
                  <c:x val="-1.5704775233514691E-2"/>
                  <c:y val="2.3962966167690627E-2"/>
                </c:manualLayout>
              </c:layout>
              <c:dLblPos val="r"/>
              <c:showVal val="1"/>
            </c:dLbl>
            <c:dLbl>
              <c:idx val="4"/>
              <c:layout>
                <c:manualLayout>
                  <c:x val="-2.421197407511979E-2"/>
                  <c:y val="3.3173262249101609E-2"/>
                </c:manualLayout>
              </c:layout>
              <c:dLblPos val="r"/>
              <c:showVal val="1"/>
            </c:dLbl>
            <c:dLbl>
              <c:idx val="5"/>
              <c:layout>
                <c:manualLayout>
                  <c:x val="-2.3088519561404241E-2"/>
                  <c:y val="2.3060346201664101E-2"/>
                </c:manualLayout>
              </c:layout>
              <c:dLblPos val="r"/>
              <c:showVal val="1"/>
            </c:dLbl>
            <c:dLbl>
              <c:idx val="6"/>
              <c:layout>
                <c:manualLayout>
                  <c:x val="-2.3570036220023668E-2"/>
                  <c:y val="3.3234803139486159E-2"/>
                </c:manualLayout>
              </c:layout>
              <c:dLblPos val="r"/>
              <c:showVal val="1"/>
            </c:dLbl>
            <c:dLbl>
              <c:idx val="7"/>
              <c:layout>
                <c:manualLayout>
                  <c:x val="-2.0841280005449353E-2"/>
                  <c:y val="4.425007602794577E-2"/>
                </c:manualLayout>
              </c:layout>
              <c:dLblPos val="r"/>
              <c:showVal val="1"/>
            </c:dLbl>
            <c:dLbl>
              <c:idx val="8"/>
              <c:layout>
                <c:manualLayout>
                  <c:x val="-2.4533069537263086E-2"/>
                  <c:y val="5.5060313817048234E-2"/>
                </c:manualLayout>
              </c:layout>
              <c:dLblPos val="r"/>
              <c:showVal val="1"/>
            </c:dLbl>
            <c:dLbl>
              <c:idx val="9"/>
              <c:layout>
                <c:manualLayout>
                  <c:x val="-2.6619722632479838E-2"/>
                  <c:y val="2.6711691402947286E-2"/>
                </c:manualLayout>
              </c:layout>
              <c:dLblPos val="r"/>
              <c:showVal val="1"/>
            </c:dLbl>
            <c:dLbl>
              <c:idx val="10"/>
              <c:layout>
                <c:manualLayout>
                  <c:x val="-2.7101239291099935E-2"/>
                  <c:y val="0"/>
                </c:manualLayout>
              </c:layout>
              <c:dLblPos val="r"/>
              <c:showVal val="1"/>
            </c:dLbl>
            <c:spPr>
              <a:noFill/>
              <a:ln w="18677">
                <a:noFill/>
              </a:ln>
            </c:spPr>
            <c:txPr>
              <a:bodyPr/>
              <a:lstStyle/>
              <a:p>
                <a:pPr>
                  <a:defRPr sz="588" b="1" i="0" u="none" strike="noStrike" baseline="0">
                    <a:solidFill>
                      <a:srgbClr val="008000"/>
                    </a:solidFill>
                    <a:latin typeface="Calibri"/>
                    <a:ea typeface="Calibri"/>
                    <a:cs typeface="Calibri"/>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Sheet1!$B$2:$L$2</c:f>
              <c:numCache>
                <c:formatCode>General</c:formatCode>
                <c:ptCount val="11"/>
                <c:pt idx="0">
                  <c:v>15.9</c:v>
                </c:pt>
                <c:pt idx="1">
                  <c:v>14.8</c:v>
                </c:pt>
                <c:pt idx="2">
                  <c:v>15.7</c:v>
                </c:pt>
                <c:pt idx="3">
                  <c:v>16.8</c:v>
                </c:pt>
                <c:pt idx="4">
                  <c:v>15.6</c:v>
                </c:pt>
                <c:pt idx="5">
                  <c:v>16.5</c:v>
                </c:pt>
                <c:pt idx="6">
                  <c:v>14.2</c:v>
                </c:pt>
                <c:pt idx="7">
                  <c:v>13.6</c:v>
                </c:pt>
                <c:pt idx="8">
                  <c:v>13.5</c:v>
                </c:pt>
                <c:pt idx="9">
                  <c:v>12.6</c:v>
                </c:pt>
              </c:numCache>
            </c:numRef>
          </c:val>
          <c:smooth val="1"/>
        </c:ser>
        <c:ser>
          <c:idx val="1"/>
          <c:order val="1"/>
          <c:tx>
            <c:strRef>
              <c:f>Sheet1!$A$3</c:f>
              <c:strCache>
                <c:ptCount val="1"/>
                <c:pt idx="0">
                  <c:v>смертность</c:v>
                </c:pt>
              </c:strCache>
            </c:strRef>
          </c:tx>
          <c:spPr>
            <a:ln w="18677">
              <a:solidFill>
                <a:srgbClr val="FF0000"/>
              </a:solidFill>
              <a:prstDash val="solid"/>
            </a:ln>
          </c:spPr>
          <c:marker>
            <c:symbol val="triangle"/>
            <c:size val="3"/>
            <c:spPr>
              <a:solidFill>
                <a:srgbClr val="FF0000"/>
              </a:solidFill>
              <a:ln>
                <a:solidFill>
                  <a:srgbClr val="FF0000"/>
                </a:solidFill>
                <a:prstDash val="solid"/>
              </a:ln>
            </c:spPr>
          </c:marker>
          <c:dLbls>
            <c:dLbl>
              <c:idx val="1"/>
              <c:layout>
                <c:manualLayout>
                  <c:x val="-2.7582833409052241E-2"/>
                  <c:y val="-4.1862621423334176E-2"/>
                </c:manualLayout>
              </c:layout>
              <c:dLblPos val="r"/>
              <c:showVal val="1"/>
            </c:dLbl>
            <c:dLbl>
              <c:idx val="2"/>
              <c:layout>
                <c:manualLayout>
                  <c:x val="-2.1643804321283468E-2"/>
                  <c:y val="-3.7288243827820949E-2"/>
                </c:manualLayout>
              </c:layout>
              <c:dLblPos val="r"/>
              <c:showVal val="1"/>
            </c:dLbl>
            <c:dLbl>
              <c:idx val="3"/>
              <c:layout>
                <c:manualLayout>
                  <c:x val="-2.052018454330598E-2"/>
                  <c:y val="-4.0201138825258081E-2"/>
                </c:manualLayout>
              </c:layout>
              <c:dLblPos val="r"/>
              <c:showVal val="1"/>
            </c:dLbl>
            <c:dLbl>
              <c:idx val="4"/>
              <c:layout>
                <c:manualLayout>
                  <c:x val="-2.421197407511979E-2"/>
                  <c:y val="-3.0375474320770646E-2"/>
                </c:manualLayout>
              </c:layout>
              <c:dLblPos val="r"/>
              <c:showVal val="1"/>
            </c:dLbl>
            <c:dLbl>
              <c:idx val="5"/>
              <c:layout>
                <c:manualLayout>
                  <c:x val="-2.6298792434598327E-2"/>
                  <c:y val="-3.2939576884873208E-2"/>
                </c:manualLayout>
              </c:layout>
              <c:dLblPos val="r"/>
              <c:showVal val="1"/>
            </c:dLbl>
            <c:dLbl>
              <c:idx val="6"/>
              <c:layout>
                <c:manualLayout>
                  <c:x val="-2.6780309093217977E-2"/>
                  <c:y val="-4.8036940726538739E-2"/>
                </c:manualLayout>
              </c:layout>
              <c:dLblPos val="r"/>
              <c:showVal val="1"/>
            </c:dLbl>
            <c:dLbl>
              <c:idx val="7"/>
              <c:layout>
                <c:manualLayout>
                  <c:x val="-2.7261825751837516E-2"/>
                  <c:y val="-3.8621609545770326E-2"/>
                </c:manualLayout>
              </c:layout>
              <c:dLblPos val="r"/>
              <c:showVal val="1"/>
            </c:dLbl>
            <c:dLbl>
              <c:idx val="8"/>
              <c:layout>
                <c:manualLayout>
                  <c:x val="-2.4533069537263044E-2"/>
                  <c:y val="-4.5965387929747581E-2"/>
                </c:manualLayout>
              </c:layout>
              <c:dLblPos val="r"/>
              <c:showVal val="1"/>
            </c:dLbl>
            <c:dLbl>
              <c:idx val="9"/>
              <c:layout>
                <c:manualLayout>
                  <c:x val="-9.3753964692646968E-4"/>
                  <c:y val="-2.0262821398337294E-2"/>
                </c:manualLayout>
              </c:layout>
              <c:dLblPos val="r"/>
              <c:showVal val="1"/>
            </c:dLbl>
            <c:dLbl>
              <c:idx val="10"/>
              <c:layout>
                <c:manualLayout>
                  <c:x val="-2.7101239291099935E-2"/>
                  <c:y val="1.0256410256410262E-2"/>
                </c:manualLayout>
              </c:layout>
              <c:dLblPos val="r"/>
              <c:showVal val="1"/>
            </c:dLbl>
            <c:spPr>
              <a:noFill/>
              <a:ln w="18677">
                <a:noFill/>
              </a:ln>
            </c:spPr>
            <c:txPr>
              <a:bodyPr/>
              <a:lstStyle/>
              <a:p>
                <a:pPr>
                  <a:defRPr sz="588" b="1" i="0" u="none" strike="noStrike" baseline="0">
                    <a:solidFill>
                      <a:srgbClr val="FF0000"/>
                    </a:solidFill>
                    <a:latin typeface="Calibri"/>
                    <a:ea typeface="Calibri"/>
                    <a:cs typeface="Calibri"/>
                  </a:defRPr>
                </a:pPr>
                <a:endParaRPr lang="ru-RU"/>
              </a:p>
            </c:txPr>
            <c:showVal val="1"/>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numCache>
            </c:numRef>
          </c:cat>
          <c:val>
            <c:numRef>
              <c:f>Sheet1!$B$3:$L$3</c:f>
              <c:numCache>
                <c:formatCode>General</c:formatCode>
                <c:ptCount val="11"/>
                <c:pt idx="0">
                  <c:v>17.7</c:v>
                </c:pt>
                <c:pt idx="1">
                  <c:v>18.5</c:v>
                </c:pt>
                <c:pt idx="2">
                  <c:v>18.600000000000001</c:v>
                </c:pt>
                <c:pt idx="3">
                  <c:v>18.2</c:v>
                </c:pt>
                <c:pt idx="4">
                  <c:v>15.5</c:v>
                </c:pt>
                <c:pt idx="5">
                  <c:v>15.5</c:v>
                </c:pt>
                <c:pt idx="6">
                  <c:v>17.3</c:v>
                </c:pt>
                <c:pt idx="7">
                  <c:v>15.6</c:v>
                </c:pt>
                <c:pt idx="8">
                  <c:v>16</c:v>
                </c:pt>
                <c:pt idx="9">
                  <c:v>14.6</c:v>
                </c:pt>
              </c:numCache>
            </c:numRef>
          </c:val>
          <c:smooth val="1"/>
        </c:ser>
        <c:dLbls>
          <c:showVal val="1"/>
        </c:dLbls>
        <c:marker val="1"/>
        <c:axId val="354134656"/>
        <c:axId val="354988416"/>
      </c:lineChart>
      <c:catAx>
        <c:axId val="354134656"/>
        <c:scaling>
          <c:orientation val="minMax"/>
        </c:scaling>
        <c:axPos val="b"/>
        <c:numFmt formatCode="General" sourceLinked="1"/>
        <c:majorTickMark val="cross"/>
        <c:tickLblPos val="nextTo"/>
        <c:spPr>
          <a:ln w="2335">
            <a:solidFill>
              <a:srgbClr val="000000"/>
            </a:solidFill>
            <a:prstDash val="solid"/>
          </a:ln>
        </c:spPr>
        <c:txPr>
          <a:bodyPr rot="0" vert="horz"/>
          <a:lstStyle/>
          <a:p>
            <a:pPr>
              <a:defRPr sz="882" b="1" i="0" u="none" strike="noStrike" baseline="0">
                <a:solidFill>
                  <a:srgbClr val="000000"/>
                </a:solidFill>
                <a:latin typeface="Calibri"/>
                <a:ea typeface="Calibri"/>
                <a:cs typeface="Calibri"/>
              </a:defRPr>
            </a:pPr>
            <a:endParaRPr lang="ru-RU"/>
          </a:p>
        </c:txPr>
        <c:crossAx val="354988416"/>
        <c:crosses val="autoZero"/>
        <c:lblAlgn val="ctr"/>
        <c:lblOffset val="100"/>
        <c:tickLblSkip val="1"/>
        <c:tickMarkSkip val="1"/>
      </c:catAx>
      <c:valAx>
        <c:axId val="354988416"/>
        <c:scaling>
          <c:orientation val="minMax"/>
          <c:max val="25"/>
          <c:min val="0"/>
        </c:scaling>
        <c:axPos val="l"/>
        <c:numFmt formatCode="General" sourceLinked="1"/>
        <c:majorTickMark val="cross"/>
        <c:tickLblPos val="nextTo"/>
        <c:spPr>
          <a:ln w="2335">
            <a:solidFill>
              <a:srgbClr val="000000"/>
            </a:solidFill>
            <a:prstDash val="solid"/>
          </a:ln>
        </c:spPr>
        <c:txPr>
          <a:bodyPr rot="0" vert="horz"/>
          <a:lstStyle/>
          <a:p>
            <a:pPr>
              <a:defRPr sz="882" b="1" i="0" u="none" strike="noStrike" baseline="0">
                <a:solidFill>
                  <a:srgbClr val="000000"/>
                </a:solidFill>
                <a:latin typeface="Calibri"/>
                <a:ea typeface="Calibri"/>
                <a:cs typeface="Calibri"/>
              </a:defRPr>
            </a:pPr>
            <a:endParaRPr lang="ru-RU"/>
          </a:p>
        </c:txPr>
        <c:crossAx val="354134656"/>
        <c:crosses val="autoZero"/>
        <c:crossBetween val="midCat"/>
        <c:majorUnit val="5"/>
        <c:minorUnit val="5"/>
      </c:valAx>
      <c:spPr>
        <a:noFill/>
        <a:ln w="18677">
          <a:noFill/>
        </a:ln>
      </c:spPr>
    </c:plotArea>
    <c:legend>
      <c:legendPos val="b"/>
      <c:layout>
        <c:manualLayout>
          <c:xMode val="edge"/>
          <c:yMode val="edge"/>
          <c:x val="4.8154093097913332E-2"/>
          <c:y val="0.92051282051282046"/>
          <c:w val="0.89085072231139661"/>
          <c:h val="8.2051282051282065E-2"/>
        </c:manualLayout>
      </c:layout>
      <c:spPr>
        <a:solidFill>
          <a:srgbClr val="FFFFFF"/>
        </a:solidFill>
        <a:ln w="2335">
          <a:solidFill>
            <a:srgbClr val="000000"/>
          </a:solidFill>
          <a:prstDash val="solid"/>
        </a:ln>
      </c:spPr>
      <c:txPr>
        <a:bodyPr/>
        <a:lstStyle/>
        <a:p>
          <a:pPr>
            <a:defRPr sz="80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588"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9" b="1" i="0" u="none" strike="noStrike" baseline="0">
                <a:solidFill>
                  <a:srgbClr val="000000"/>
                </a:solidFill>
                <a:latin typeface="Times New Roman"/>
                <a:ea typeface="Times New Roman"/>
                <a:cs typeface="Times New Roman"/>
              </a:defRPr>
            </a:pPr>
            <a:r>
              <a:rPr lang="ru-RU"/>
              <a:t>Естественное и миграционное движение населения 
в 2009-2018 годах</a:t>
            </a:r>
          </a:p>
        </c:rich>
      </c:tx>
      <c:layout>
        <c:manualLayout>
          <c:xMode val="edge"/>
          <c:yMode val="edge"/>
          <c:x val="0.13439999999999999"/>
          <c:y val="1.9553072625698331E-2"/>
        </c:manualLayout>
      </c:layout>
      <c:spPr>
        <a:noFill/>
        <a:ln w="18667">
          <a:noFill/>
        </a:ln>
      </c:spPr>
    </c:title>
    <c:plotArea>
      <c:layout>
        <c:manualLayout>
          <c:layoutTarget val="inner"/>
          <c:xMode val="edge"/>
          <c:yMode val="edge"/>
          <c:x val="7.1999999999999995E-2"/>
          <c:y val="0.26815642458100553"/>
          <c:w val="0.86240000000000028"/>
          <c:h val="0.55586592178770933"/>
        </c:manualLayout>
      </c:layout>
      <c:lineChart>
        <c:grouping val="standard"/>
        <c:ser>
          <c:idx val="0"/>
          <c:order val="0"/>
          <c:tx>
            <c:strRef>
              <c:f>Sheet1!$A$2</c:f>
              <c:strCache>
                <c:ptCount val="1"/>
                <c:pt idx="0">
                  <c:v>сальдо естественного движения</c:v>
                </c:pt>
              </c:strCache>
            </c:strRef>
          </c:tx>
          <c:spPr>
            <a:ln w="28000">
              <a:solidFill>
                <a:srgbClr val="0000FF"/>
              </a:solidFill>
              <a:prstDash val="solid"/>
            </a:ln>
          </c:spPr>
          <c:marker>
            <c:symbol val="square"/>
            <c:size val="3"/>
            <c:spPr>
              <a:solidFill>
                <a:srgbClr val="000080"/>
              </a:solidFill>
              <a:ln>
                <a:solidFill>
                  <a:srgbClr val="000080"/>
                </a:solidFill>
                <a:prstDash val="solid"/>
              </a:ln>
            </c:spPr>
          </c:marker>
          <c:dLbls>
            <c:dLbl>
              <c:idx val="1"/>
              <c:layout>
                <c:manualLayout>
                  <c:x val="-3.3420102558354592E-2"/>
                  <c:y val="1.5416607356144118E-2"/>
                </c:manualLayout>
              </c:layout>
              <c:dLblPos val="r"/>
              <c:showVal val="1"/>
            </c:dLbl>
            <c:dLbl>
              <c:idx val="2"/>
              <c:layout>
                <c:manualLayout>
                  <c:x val="-1.4202120066789598E-3"/>
                  <c:y val="7.8506609074987313E-3"/>
                </c:manualLayout>
              </c:layout>
              <c:dLblPos val="r"/>
              <c:showVal val="1"/>
            </c:dLbl>
            <c:dLbl>
              <c:idx val="3"/>
              <c:layout>
                <c:manualLayout>
                  <c:x val="-1.1020156623189477E-2"/>
                  <c:y val="3.1160505011902328E-2"/>
                </c:manualLayout>
              </c:layout>
              <c:dLblPos val="r"/>
              <c:showVal val="1"/>
            </c:dLbl>
            <c:dLbl>
              <c:idx val="4"/>
              <c:layout>
                <c:manualLayout>
                  <c:x val="-2.3820101239700027E-2"/>
                  <c:y val="9.6098381247852999E-2"/>
                </c:manualLayout>
              </c:layout>
              <c:dLblPos val="r"/>
              <c:showVal val="1"/>
            </c:dLbl>
            <c:dLbl>
              <c:idx val="5"/>
              <c:layout>
                <c:manualLayout>
                  <c:x val="-3.0220210688024499E-2"/>
                  <c:y val="5.6073201386281579E-2"/>
                </c:manualLayout>
              </c:layout>
              <c:dLblPos val="r"/>
              <c:showVal val="1"/>
            </c:dLbl>
            <c:dLbl>
              <c:idx val="6"/>
              <c:layout>
                <c:manualLayout>
                  <c:x val="-2.5420155304535008E-2"/>
                  <c:y val="-6.1463668469520269E-2"/>
                </c:manualLayout>
              </c:layout>
              <c:dLblPos val="r"/>
              <c:showVal val="1"/>
            </c:dLbl>
            <c:dLbl>
              <c:idx val="7"/>
              <c:layout>
                <c:manualLayout>
                  <c:x val="-3.342026475285946E-2"/>
                  <c:y val="4.1098804770889487E-2"/>
                </c:manualLayout>
              </c:layout>
              <c:dLblPos val="r"/>
              <c:showVal val="1"/>
            </c:dLbl>
            <c:dLbl>
              <c:idx val="8"/>
              <c:layout>
                <c:manualLayout>
                  <c:x val="-2.5420209369369978E-2"/>
                  <c:y val="5.4470349116305918E-2"/>
                </c:manualLayout>
              </c:layout>
              <c:dLblPos val="r"/>
              <c:showVal val="1"/>
            </c:dLbl>
            <c:dLbl>
              <c:idx val="9"/>
              <c:layout>
                <c:manualLayout>
                  <c:x val="-6.2201539858804987E-3"/>
                  <c:y val="3.8410887280361967E-2"/>
                </c:manualLayout>
              </c:layout>
              <c:dLblPos val="r"/>
              <c:showVal val="1"/>
            </c:dLbl>
            <c:dLbl>
              <c:idx val="10"/>
              <c:layout>
                <c:manualLayout>
                  <c:x val="-1.4220263434204877E-2"/>
                  <c:y val="-8.8364253442252225E-2"/>
                </c:manualLayout>
              </c:layout>
              <c:dLblPos val="r"/>
              <c:showVal val="1"/>
            </c:dLbl>
            <c:spPr>
              <a:noFill/>
              <a:ln w="18667">
                <a:noFill/>
              </a:ln>
            </c:spPr>
            <c:txPr>
              <a:bodyPr/>
              <a:lstStyle/>
              <a:p>
                <a:pPr>
                  <a:defRPr sz="735" b="1" i="0" u="none" strike="noStrike" baseline="0">
                    <a:solidFill>
                      <a:srgbClr val="0000FF"/>
                    </a:solidFill>
                    <a:latin typeface="Times New Roman"/>
                    <a:ea typeface="Times New Roman"/>
                    <a:cs typeface="Times New Roman"/>
                  </a:defRPr>
                </a:pPr>
                <a:endParaRPr lang="ru-RU"/>
              </a:p>
            </c:txPr>
            <c:showVal val="1"/>
          </c:dLbls>
          <c:cat>
            <c:numRef>
              <c:f>Sheet1!$B$1:$M$1</c:f>
              <c:numCache>
                <c:formatCode>General</c:formatCode>
                <c:ptCount val="12"/>
                <c:pt idx="0">
                  <c:v>0</c:v>
                </c:pt>
                <c:pt idx="1">
                  <c:v>2009</c:v>
                </c:pt>
                <c:pt idx="2">
                  <c:v>2010</c:v>
                </c:pt>
                <c:pt idx="3">
                  <c:v>2011</c:v>
                </c:pt>
                <c:pt idx="4">
                  <c:v>2012</c:v>
                </c:pt>
                <c:pt idx="5">
                  <c:v>2013</c:v>
                </c:pt>
                <c:pt idx="6">
                  <c:v>2014</c:v>
                </c:pt>
                <c:pt idx="7">
                  <c:v>2015</c:v>
                </c:pt>
                <c:pt idx="8">
                  <c:v>2016</c:v>
                </c:pt>
                <c:pt idx="9">
                  <c:v>2017</c:v>
                </c:pt>
                <c:pt idx="10">
                  <c:v>2018</c:v>
                </c:pt>
              </c:numCache>
            </c:numRef>
          </c:cat>
          <c:val>
            <c:numRef>
              <c:f>Sheet1!$B$2:$M$2</c:f>
              <c:numCache>
                <c:formatCode>General</c:formatCode>
                <c:ptCount val="12"/>
                <c:pt idx="1">
                  <c:v>-45</c:v>
                </c:pt>
                <c:pt idx="2">
                  <c:v>-96</c:v>
                </c:pt>
                <c:pt idx="3">
                  <c:v>-74</c:v>
                </c:pt>
                <c:pt idx="4">
                  <c:v>-35</c:v>
                </c:pt>
                <c:pt idx="5">
                  <c:v>2</c:v>
                </c:pt>
                <c:pt idx="6">
                  <c:v>26</c:v>
                </c:pt>
                <c:pt idx="7">
                  <c:v>-79</c:v>
                </c:pt>
                <c:pt idx="8">
                  <c:v>-52</c:v>
                </c:pt>
                <c:pt idx="9">
                  <c:v>-65</c:v>
                </c:pt>
                <c:pt idx="10">
                  <c:v>-49</c:v>
                </c:pt>
              </c:numCache>
            </c:numRef>
          </c:val>
          <c:smooth val="1"/>
        </c:ser>
        <c:ser>
          <c:idx val="1"/>
          <c:order val="1"/>
          <c:tx>
            <c:strRef>
              <c:f>Sheet1!$A$3</c:f>
              <c:strCache>
                <c:ptCount val="1"/>
                <c:pt idx="0">
                  <c:v>сальдо миграционного движения</c:v>
                </c:pt>
              </c:strCache>
            </c:strRef>
          </c:tx>
          <c:spPr>
            <a:ln w="18667">
              <a:solidFill>
                <a:srgbClr val="FF00FF"/>
              </a:solidFill>
              <a:prstDash val="solid"/>
            </a:ln>
          </c:spPr>
          <c:marker>
            <c:symbol val="triangle"/>
            <c:size val="3"/>
            <c:spPr>
              <a:solidFill>
                <a:srgbClr val="FF00FF"/>
              </a:solidFill>
              <a:ln>
                <a:solidFill>
                  <a:srgbClr val="FF00FF"/>
                </a:solidFill>
                <a:prstDash val="solid"/>
              </a:ln>
            </c:spPr>
          </c:marker>
          <c:dLbls>
            <c:dLbl>
              <c:idx val="2"/>
              <c:layout>
                <c:manualLayout>
                  <c:x val="-2.062021200667899E-2"/>
                  <c:y val="-0.13734833224931131"/>
                </c:manualLayout>
              </c:layout>
              <c:dLblPos val="r"/>
              <c:showVal val="1"/>
            </c:dLbl>
            <c:dLbl>
              <c:idx val="3"/>
              <c:layout>
                <c:manualLayout>
                  <c:x val="-4.6201566231894569E-3"/>
                  <c:y val="-0.10372340057782756"/>
                </c:manualLayout>
              </c:layout>
              <c:dLblPos val="r"/>
              <c:showVal val="1"/>
            </c:dLbl>
            <c:dLbl>
              <c:idx val="4"/>
              <c:layout>
                <c:manualLayout>
                  <c:x val="2.0979898760299959E-2"/>
                  <c:y val="1.5372166576999136E-2"/>
                </c:manualLayout>
              </c:layout>
              <c:dLblPos val="r"/>
              <c:showVal val="1"/>
            </c:dLbl>
            <c:dLbl>
              <c:idx val="5"/>
              <c:layout>
                <c:manualLayout>
                  <c:x val="-3.1820210688024424E-2"/>
                  <c:y val="-8.1761782382926626E-2"/>
                </c:manualLayout>
              </c:layout>
              <c:dLblPos val="r"/>
              <c:showVal val="1"/>
            </c:dLbl>
            <c:dLbl>
              <c:idx val="6"/>
              <c:layout>
                <c:manualLayout>
                  <c:x val="-2.7020155304535026E-2"/>
                  <c:y val="-6.5734743011730129E-2"/>
                </c:manualLayout>
              </c:layout>
              <c:dLblPos val="r"/>
              <c:showVal val="1"/>
            </c:dLbl>
            <c:dLbl>
              <c:idx val="7"/>
              <c:layout>
                <c:manualLayout>
                  <c:x val="-1.2620264752859239E-2"/>
                  <c:y val="-7.3713669527329814E-2"/>
                </c:manualLayout>
              </c:layout>
              <c:dLblPos val="r"/>
              <c:showVal val="1"/>
            </c:dLbl>
            <c:dLbl>
              <c:idx val="8"/>
              <c:layout>
                <c:manualLayout>
                  <c:x val="-3.0202093693698158E-3"/>
                  <c:y val="-7.1139093347750371E-2"/>
                </c:manualLayout>
              </c:layout>
              <c:dLblPos val="r"/>
              <c:showVal val="1"/>
            </c:dLbl>
            <c:dLbl>
              <c:idx val="9"/>
              <c:layout>
                <c:manualLayout>
                  <c:x val="1.7798460141194863E-3"/>
                  <c:y val="1.8590513738632156E-3"/>
                </c:manualLayout>
              </c:layout>
              <c:dLblPos val="r"/>
              <c:showVal val="1"/>
            </c:dLbl>
            <c:spPr>
              <a:noFill/>
              <a:ln w="18667">
                <a:noFill/>
              </a:ln>
            </c:spPr>
            <c:txPr>
              <a:bodyPr/>
              <a:lstStyle/>
              <a:p>
                <a:pPr>
                  <a:defRPr sz="735" b="1" i="0" u="none" strike="noStrike" baseline="0">
                    <a:solidFill>
                      <a:srgbClr val="FF00FF"/>
                    </a:solidFill>
                    <a:latin typeface="Times New Roman"/>
                    <a:ea typeface="Times New Roman"/>
                    <a:cs typeface="Times New Roman"/>
                  </a:defRPr>
                </a:pPr>
                <a:endParaRPr lang="ru-RU"/>
              </a:p>
            </c:txPr>
            <c:showVal val="1"/>
          </c:dLbls>
          <c:cat>
            <c:numRef>
              <c:f>Sheet1!$B$1:$M$1</c:f>
              <c:numCache>
                <c:formatCode>General</c:formatCode>
                <c:ptCount val="12"/>
                <c:pt idx="0">
                  <c:v>0</c:v>
                </c:pt>
                <c:pt idx="1">
                  <c:v>2009</c:v>
                </c:pt>
                <c:pt idx="2">
                  <c:v>2010</c:v>
                </c:pt>
                <c:pt idx="3">
                  <c:v>2011</c:v>
                </c:pt>
                <c:pt idx="4">
                  <c:v>2012</c:v>
                </c:pt>
                <c:pt idx="5">
                  <c:v>2013</c:v>
                </c:pt>
                <c:pt idx="6">
                  <c:v>2014</c:v>
                </c:pt>
                <c:pt idx="7">
                  <c:v>2015</c:v>
                </c:pt>
                <c:pt idx="8">
                  <c:v>2016</c:v>
                </c:pt>
                <c:pt idx="9">
                  <c:v>2017</c:v>
                </c:pt>
                <c:pt idx="10">
                  <c:v>2018</c:v>
                </c:pt>
              </c:numCache>
            </c:numRef>
          </c:cat>
          <c:val>
            <c:numRef>
              <c:f>Sheet1!$B$3:$M$3</c:f>
              <c:numCache>
                <c:formatCode>General</c:formatCode>
                <c:ptCount val="12"/>
                <c:pt idx="1">
                  <c:v>51</c:v>
                </c:pt>
                <c:pt idx="2">
                  <c:v>-89</c:v>
                </c:pt>
                <c:pt idx="3">
                  <c:v>-75</c:v>
                </c:pt>
                <c:pt idx="4">
                  <c:v>-104</c:v>
                </c:pt>
                <c:pt idx="5">
                  <c:v>-20</c:v>
                </c:pt>
                <c:pt idx="6">
                  <c:v>201</c:v>
                </c:pt>
                <c:pt idx="7">
                  <c:v>42</c:v>
                </c:pt>
                <c:pt idx="8">
                  <c:v>66</c:v>
                </c:pt>
                <c:pt idx="9">
                  <c:v>-256</c:v>
                </c:pt>
                <c:pt idx="10">
                  <c:v>-338</c:v>
                </c:pt>
              </c:numCache>
            </c:numRef>
          </c:val>
          <c:smooth val="1"/>
        </c:ser>
        <c:dLbls>
          <c:showVal val="1"/>
        </c:dLbls>
        <c:marker val="1"/>
        <c:axId val="355145216"/>
        <c:axId val="355146752"/>
      </c:lineChart>
      <c:catAx>
        <c:axId val="355145216"/>
        <c:scaling>
          <c:orientation val="minMax"/>
        </c:scaling>
        <c:axPos val="b"/>
        <c:numFmt formatCode="General" sourceLinked="1"/>
        <c:majorTickMark val="cross"/>
        <c:tickLblPos val="nextTo"/>
        <c:spPr>
          <a:ln w="2333">
            <a:solidFill>
              <a:srgbClr val="000000"/>
            </a:solidFill>
            <a:prstDash val="solid"/>
          </a:ln>
        </c:spPr>
        <c:txPr>
          <a:bodyPr rot="0" vert="horz"/>
          <a:lstStyle/>
          <a:p>
            <a:pPr>
              <a:defRPr sz="588" b="1" i="0" u="none" strike="noStrike" baseline="0">
                <a:solidFill>
                  <a:srgbClr val="000000"/>
                </a:solidFill>
                <a:latin typeface="Calibri"/>
                <a:ea typeface="Calibri"/>
                <a:cs typeface="Calibri"/>
              </a:defRPr>
            </a:pPr>
            <a:endParaRPr lang="ru-RU"/>
          </a:p>
        </c:txPr>
        <c:crossAx val="355146752"/>
        <c:crosses val="autoZero"/>
        <c:lblAlgn val="ctr"/>
        <c:lblOffset val="100"/>
        <c:tickLblSkip val="1"/>
        <c:tickMarkSkip val="1"/>
      </c:catAx>
      <c:valAx>
        <c:axId val="355146752"/>
        <c:scaling>
          <c:orientation val="minMax"/>
          <c:max val="350"/>
          <c:min val="-340"/>
        </c:scaling>
        <c:axPos val="l"/>
        <c:numFmt formatCode="General" sourceLinked="1"/>
        <c:majorTickMark val="cross"/>
        <c:tickLblPos val="nextTo"/>
        <c:spPr>
          <a:ln w="2333">
            <a:solidFill>
              <a:srgbClr val="000000"/>
            </a:solidFill>
            <a:prstDash val="solid"/>
          </a:ln>
        </c:spPr>
        <c:txPr>
          <a:bodyPr rot="0" vert="horz"/>
          <a:lstStyle/>
          <a:p>
            <a:pPr>
              <a:defRPr sz="735" b="1" i="0" u="none" strike="noStrike" baseline="0">
                <a:solidFill>
                  <a:srgbClr val="000000"/>
                </a:solidFill>
                <a:latin typeface="Calibri"/>
                <a:ea typeface="Calibri"/>
                <a:cs typeface="Calibri"/>
              </a:defRPr>
            </a:pPr>
            <a:endParaRPr lang="ru-RU"/>
          </a:p>
        </c:txPr>
        <c:crossAx val="355145216"/>
        <c:crosses val="autoZero"/>
        <c:crossBetween val="midCat"/>
      </c:valAx>
      <c:spPr>
        <a:noFill/>
        <a:ln w="18667">
          <a:noFill/>
        </a:ln>
      </c:spPr>
    </c:plotArea>
    <c:legend>
      <c:legendPos val="b"/>
      <c:layout>
        <c:manualLayout>
          <c:xMode val="edge"/>
          <c:yMode val="edge"/>
          <c:x val="6.720000000000001E-2"/>
          <c:y val="0.91340782122905029"/>
          <c:w val="0.88800000000000001"/>
          <c:h val="8.9385474860335185E-2"/>
        </c:manualLayout>
      </c:layout>
      <c:spPr>
        <a:solidFill>
          <a:srgbClr val="FFFFFF"/>
        </a:solidFill>
        <a:ln w="2333">
          <a:solidFill>
            <a:srgbClr val="000000"/>
          </a:solidFill>
          <a:prstDash val="solid"/>
        </a:ln>
      </c:spPr>
      <c:txPr>
        <a:bodyPr/>
        <a:lstStyle/>
        <a:p>
          <a:pPr>
            <a:defRPr sz="67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588"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580" b="1" i="0" u="none" strike="noStrike" baseline="0">
                <a:solidFill>
                  <a:srgbClr val="000000"/>
                </a:solidFill>
                <a:latin typeface="Times New Roman"/>
                <a:ea typeface="Times New Roman"/>
                <a:cs typeface="Times New Roman"/>
              </a:defRPr>
            </a:pPr>
            <a:r>
              <a:rPr lang="ru-RU"/>
              <a:t>Национальный состав Пластовского муниципального района (по данным переписи 2010 года)</a:t>
            </a:r>
          </a:p>
        </c:rich>
      </c:tx>
      <c:layout>
        <c:manualLayout>
          <c:xMode val="edge"/>
          <c:yMode val="edge"/>
          <c:x val="0.15950920245398778"/>
          <c:y val="0"/>
        </c:manualLayout>
      </c:layout>
      <c:spPr>
        <a:noFill/>
        <a:ln w="28669">
          <a:noFill/>
        </a:ln>
      </c:spPr>
    </c:title>
    <c:view3D>
      <c:rotY val="60"/>
      <c:perspective val="0"/>
    </c:view3D>
    <c:plotArea>
      <c:layout>
        <c:manualLayout>
          <c:layoutTarget val="inner"/>
          <c:xMode val="edge"/>
          <c:yMode val="edge"/>
          <c:x val="0.14877300613496938"/>
          <c:y val="0.34415584415584427"/>
          <c:w val="0.51226993865030679"/>
          <c:h val="0.43181818181818193"/>
        </c:manualLayout>
      </c:layout>
      <c:pie3DChart>
        <c:varyColors val="1"/>
        <c:ser>
          <c:idx val="0"/>
          <c:order val="0"/>
          <c:tx>
            <c:strRef>
              <c:f>Sheet1!$A$2</c:f>
              <c:strCache>
                <c:ptCount val="1"/>
                <c:pt idx="0">
                  <c:v>Восток</c:v>
                </c:pt>
              </c:strCache>
            </c:strRef>
          </c:tx>
          <c:spPr>
            <a:solidFill>
              <a:srgbClr val="9999FF"/>
            </a:solidFill>
            <a:ln w="14335">
              <a:solidFill>
                <a:srgbClr val="000000"/>
              </a:solidFill>
              <a:prstDash val="solid"/>
            </a:ln>
          </c:spPr>
          <c:explosion val="61"/>
          <c:dPt>
            <c:idx val="1"/>
            <c:spPr>
              <a:solidFill>
                <a:srgbClr val="993366"/>
              </a:solidFill>
              <a:ln w="14335">
                <a:solidFill>
                  <a:srgbClr val="000000"/>
                </a:solidFill>
                <a:prstDash val="solid"/>
              </a:ln>
            </c:spPr>
          </c:dPt>
          <c:dPt>
            <c:idx val="2"/>
            <c:spPr>
              <a:solidFill>
                <a:srgbClr val="FFFFCC"/>
              </a:solidFill>
              <a:ln w="14335">
                <a:solidFill>
                  <a:srgbClr val="000000"/>
                </a:solidFill>
                <a:prstDash val="solid"/>
              </a:ln>
            </c:spPr>
          </c:dPt>
          <c:dPt>
            <c:idx val="3"/>
            <c:spPr>
              <a:solidFill>
                <a:srgbClr val="CCFFFF"/>
              </a:solidFill>
              <a:ln w="14335">
                <a:solidFill>
                  <a:srgbClr val="000000"/>
                </a:solidFill>
                <a:prstDash val="solid"/>
              </a:ln>
            </c:spPr>
          </c:dPt>
          <c:dPt>
            <c:idx val="4"/>
            <c:spPr>
              <a:solidFill>
                <a:srgbClr val="660066"/>
              </a:solidFill>
              <a:ln w="14335">
                <a:solidFill>
                  <a:srgbClr val="000000"/>
                </a:solidFill>
                <a:prstDash val="solid"/>
              </a:ln>
            </c:spPr>
          </c:dPt>
          <c:dPt>
            <c:idx val="5"/>
            <c:spPr>
              <a:solidFill>
                <a:srgbClr val="FF8080"/>
              </a:solidFill>
              <a:ln w="14335">
                <a:solidFill>
                  <a:srgbClr val="000000"/>
                </a:solidFill>
                <a:prstDash val="solid"/>
              </a:ln>
            </c:spPr>
          </c:dPt>
          <c:dPt>
            <c:idx val="6"/>
            <c:spPr>
              <a:solidFill>
                <a:srgbClr val="0066CC"/>
              </a:solidFill>
              <a:ln w="14335">
                <a:solidFill>
                  <a:srgbClr val="000000"/>
                </a:solidFill>
                <a:prstDash val="solid"/>
              </a:ln>
            </c:spPr>
          </c:dPt>
          <c:dPt>
            <c:idx val="7"/>
            <c:spPr>
              <a:solidFill>
                <a:srgbClr val="CCCCFF"/>
              </a:solidFill>
              <a:ln w="14335">
                <a:solidFill>
                  <a:srgbClr val="000000"/>
                </a:solidFill>
                <a:prstDash val="solid"/>
              </a:ln>
            </c:spPr>
          </c:dPt>
          <c:dPt>
            <c:idx val="8"/>
            <c:spPr>
              <a:solidFill>
                <a:srgbClr val="000080"/>
              </a:solidFill>
              <a:ln w="14335">
                <a:solidFill>
                  <a:srgbClr val="000000"/>
                </a:solidFill>
                <a:prstDash val="solid"/>
              </a:ln>
            </c:spPr>
          </c:dPt>
          <c:dPt>
            <c:idx val="9"/>
            <c:spPr>
              <a:solidFill>
                <a:srgbClr val="FF00FF"/>
              </a:solidFill>
              <a:ln w="14335">
                <a:solidFill>
                  <a:srgbClr val="000000"/>
                </a:solidFill>
                <a:prstDash val="solid"/>
              </a:ln>
            </c:spPr>
          </c:dPt>
          <c:dPt>
            <c:idx val="10"/>
            <c:spPr>
              <a:solidFill>
                <a:srgbClr val="FFFF00"/>
              </a:solidFill>
              <a:ln w="14335">
                <a:solidFill>
                  <a:srgbClr val="000000"/>
                </a:solidFill>
                <a:prstDash val="solid"/>
              </a:ln>
            </c:spPr>
          </c:dPt>
          <c:dLbls>
            <c:dLbl>
              <c:idx val="0"/>
              <c:layout>
                <c:manualLayout>
                  <c:x val="6.0620801991822092E-2"/>
                  <c:y val="9.1386844827167329E-2"/>
                </c:manualLayout>
              </c:layout>
              <c:tx>
                <c:rich>
                  <a:bodyPr/>
                  <a:lstStyle/>
                  <a:p>
                    <a:r>
                      <a:rPr lang="ru-RU"/>
                      <a:t>русские -85,6%</a:t>
                    </a:r>
                  </a:p>
                </c:rich>
              </c:tx>
              <c:dLblPos val="bestFit"/>
            </c:dLbl>
            <c:dLbl>
              <c:idx val="1"/>
              <c:layout>
                <c:manualLayout>
                  <c:x val="-0.21674988284487445"/>
                  <c:y val="-7.4118026194878256E-2"/>
                </c:manualLayout>
              </c:layout>
              <c:tx>
                <c:rich>
                  <a:bodyPr/>
                  <a:lstStyle/>
                  <a:p>
                    <a:r>
                      <a:rPr lang="ru-RU"/>
                      <a:t>татары-6,4%</a:t>
                    </a:r>
                  </a:p>
                </c:rich>
              </c:tx>
              <c:dLblPos val="bestFit"/>
            </c:dLbl>
            <c:dLbl>
              <c:idx val="2"/>
              <c:layout>
                <c:manualLayout>
                  <c:x val="-0.17656543173313427"/>
                  <c:y val="-0.14415999371050975"/>
                </c:manualLayout>
              </c:layout>
              <c:tx>
                <c:rich>
                  <a:bodyPr/>
                  <a:lstStyle/>
                  <a:p>
                    <a:r>
                      <a:rPr lang="ru-RU"/>
                      <a:t>казахи-2,1%</a:t>
                    </a:r>
                  </a:p>
                </c:rich>
              </c:tx>
              <c:dLblPos val="bestFit"/>
            </c:dLbl>
            <c:dLbl>
              <c:idx val="3"/>
              <c:layout>
                <c:manualLayout>
                  <c:x val="-8.8847289577658278E-2"/>
                  <c:y val="-0.14929844340902296"/>
                </c:manualLayout>
              </c:layout>
              <c:tx>
                <c:rich>
                  <a:bodyPr/>
                  <a:lstStyle/>
                  <a:p>
                    <a:r>
                      <a:rPr lang="ru-RU"/>
                      <a:t>башкиры-1,5%</a:t>
                    </a:r>
                  </a:p>
                </c:rich>
              </c:tx>
              <c:dLblPos val="bestFit"/>
            </c:dLbl>
            <c:dLbl>
              <c:idx val="4"/>
              <c:layout>
                <c:manualLayout>
                  <c:x val="2.3859514621525236E-2"/>
                  <c:y val="-0.2078865747953263"/>
                </c:manualLayout>
              </c:layout>
              <c:tx>
                <c:rich>
                  <a:bodyPr/>
                  <a:lstStyle/>
                  <a:p>
                    <a:r>
                      <a:rPr lang="ru-RU"/>
                      <a:t>украинцы-1,4%</a:t>
                    </a:r>
                  </a:p>
                </c:rich>
              </c:tx>
              <c:dLblPos val="bestFit"/>
            </c:dLbl>
            <c:dLbl>
              <c:idx val="5"/>
              <c:layout>
                <c:manualLayout>
                  <c:x val="0.11998469181427564"/>
                  <c:y val="-0.16510522882682765"/>
                </c:manualLayout>
              </c:layout>
              <c:tx>
                <c:rich>
                  <a:bodyPr/>
                  <a:lstStyle/>
                  <a:p>
                    <a:r>
                      <a:rPr lang="ru-RU"/>
                      <a:t>белорусы - 0,5%</a:t>
                    </a:r>
                  </a:p>
                </c:rich>
              </c:tx>
              <c:dLblPos val="bestFit"/>
            </c:dLbl>
            <c:dLbl>
              <c:idx val="6"/>
              <c:layout>
                <c:manualLayout>
                  <c:x val="0.11073791785923848"/>
                  <c:y val="-0.11452293656696245"/>
                </c:manualLayout>
              </c:layout>
              <c:tx>
                <c:rich>
                  <a:bodyPr/>
                  <a:lstStyle/>
                  <a:p>
                    <a:r>
                      <a:rPr lang="ru-RU"/>
                      <a:t>немцы - 0,5%</a:t>
                    </a:r>
                  </a:p>
                </c:rich>
              </c:tx>
              <c:dLblPos val="bestFit"/>
            </c:dLbl>
            <c:dLbl>
              <c:idx val="7"/>
              <c:layout>
                <c:manualLayout>
                  <c:x val="0.10593956360516059"/>
                  <c:y val="-2.0035589933034587E-2"/>
                </c:manualLayout>
              </c:layout>
              <c:tx>
                <c:rich>
                  <a:bodyPr/>
                  <a:lstStyle/>
                  <a:p>
                    <a:r>
                      <a:rPr lang="ru-RU"/>
                      <a:t>цыгане-0,4%</a:t>
                    </a:r>
                  </a:p>
                </c:rich>
              </c:tx>
              <c:dLblPos val="bestFit"/>
            </c:dLbl>
            <c:dLbl>
              <c:idx val="8"/>
              <c:layout>
                <c:manualLayout>
                  <c:x val="0.10115681226332957"/>
                  <c:y val="3.2260138325490552E-2"/>
                </c:manualLayout>
              </c:layout>
              <c:tx>
                <c:rich>
                  <a:bodyPr/>
                  <a:lstStyle/>
                  <a:p>
                    <a:r>
                      <a:rPr lang="ru-RU"/>
                      <a:t>мордва-0,3%</a:t>
                    </a:r>
                  </a:p>
                </c:rich>
              </c:tx>
              <c:dLblPos val="bestFit"/>
            </c:dLbl>
            <c:dLbl>
              <c:idx val="9"/>
              <c:layout>
                <c:manualLayout>
                  <c:x val="9.7987455749037139E-2"/>
                  <c:y val="0.1699445215686714"/>
                </c:manualLayout>
              </c:layout>
              <c:tx>
                <c:rich>
                  <a:bodyPr/>
                  <a:lstStyle/>
                  <a:p>
                    <a:r>
                      <a:rPr lang="ru-RU"/>
                      <a:t>армяне- 0,2%</a:t>
                    </a:r>
                  </a:p>
                </c:rich>
              </c:tx>
              <c:dLblPos val="bestFit"/>
            </c:dLbl>
            <c:dLbl>
              <c:idx val="10"/>
              <c:layout>
                <c:manualLayout>
                  <c:x val="-5.710816686805998E-2"/>
                  <c:y val="0.15456091463729493"/>
                </c:manualLayout>
              </c:layout>
              <c:tx>
                <c:rich>
                  <a:bodyPr/>
                  <a:lstStyle/>
                  <a:p>
                    <a:r>
                      <a:rPr lang="ru-RU"/>
                      <a:t>прочие-1,1%</a:t>
                    </a:r>
                  </a:p>
                </c:rich>
              </c:tx>
              <c:dLblPos val="bestFit"/>
            </c:dLbl>
            <c:spPr>
              <a:noFill/>
              <a:ln w="28669">
                <a:noFill/>
              </a:ln>
            </c:spPr>
            <c:txPr>
              <a:bodyPr/>
              <a:lstStyle/>
              <a:p>
                <a:pPr>
                  <a:defRPr sz="903" b="1" i="0" u="none" strike="noStrike" baseline="0">
                    <a:solidFill>
                      <a:srgbClr val="000000"/>
                    </a:solidFill>
                    <a:latin typeface="Times New Roman"/>
                    <a:ea typeface="Times New Roman"/>
                    <a:cs typeface="Times New Roman"/>
                  </a:defRPr>
                </a:pPr>
                <a:endParaRPr lang="ru-RU"/>
              </a:p>
            </c:txPr>
            <c:showVal val="1"/>
            <c:showCatName val="1"/>
            <c:showLeaderLines val="1"/>
          </c:dLbls>
          <c:cat>
            <c:strRef>
              <c:f>Sheet1!$B$1:$L$1</c:f>
              <c:strCache>
                <c:ptCount val="11"/>
                <c:pt idx="0">
                  <c:v>русские </c:v>
                </c:pt>
                <c:pt idx="1">
                  <c:v>татары</c:v>
                </c:pt>
                <c:pt idx="2">
                  <c:v>казахи</c:v>
                </c:pt>
                <c:pt idx="3">
                  <c:v>башкиры</c:v>
                </c:pt>
                <c:pt idx="4">
                  <c:v>украинцы</c:v>
                </c:pt>
                <c:pt idx="5">
                  <c:v>белорусы</c:v>
                </c:pt>
                <c:pt idx="6">
                  <c:v>немцы</c:v>
                </c:pt>
                <c:pt idx="7">
                  <c:v>цыгане</c:v>
                </c:pt>
                <c:pt idx="8">
                  <c:v>мордва</c:v>
                </c:pt>
                <c:pt idx="9">
                  <c:v>армяне</c:v>
                </c:pt>
                <c:pt idx="10">
                  <c:v>прочие</c:v>
                </c:pt>
              </c:strCache>
            </c:strRef>
          </c:cat>
          <c:val>
            <c:numRef>
              <c:f>Sheet1!$B$2:$L$2</c:f>
              <c:numCache>
                <c:formatCode>General</c:formatCode>
                <c:ptCount val="11"/>
                <c:pt idx="0">
                  <c:v>85.6</c:v>
                </c:pt>
                <c:pt idx="1">
                  <c:v>6.4</c:v>
                </c:pt>
                <c:pt idx="2">
                  <c:v>2.1</c:v>
                </c:pt>
                <c:pt idx="3">
                  <c:v>1.5</c:v>
                </c:pt>
                <c:pt idx="4">
                  <c:v>1.4</c:v>
                </c:pt>
                <c:pt idx="5">
                  <c:v>0.5</c:v>
                </c:pt>
                <c:pt idx="6">
                  <c:v>0.5</c:v>
                </c:pt>
                <c:pt idx="7">
                  <c:v>0.4</c:v>
                </c:pt>
                <c:pt idx="8">
                  <c:v>0.3000000000000001</c:v>
                </c:pt>
                <c:pt idx="9">
                  <c:v>0.2</c:v>
                </c:pt>
                <c:pt idx="10">
                  <c:v>1.1000000000000001</c:v>
                </c:pt>
              </c:numCache>
            </c:numRef>
          </c:val>
        </c:ser>
        <c:dLbls>
          <c:showVal val="1"/>
          <c:showCatName val="1"/>
        </c:dLbls>
      </c:pie3DChart>
      <c:spPr>
        <a:noFill/>
        <a:ln w="28669">
          <a:noFill/>
        </a:ln>
      </c:spPr>
    </c:plotArea>
    <c:legend>
      <c:legendPos val="b"/>
      <c:layout>
        <c:manualLayout>
          <c:xMode val="edge"/>
          <c:yMode val="edge"/>
          <c:x val="6.1349693251533778E-3"/>
          <c:y val="0.94155844155844171"/>
          <c:w val="0.95245398773006118"/>
          <c:h val="6.1688311688311702E-2"/>
        </c:manualLayout>
      </c:layout>
      <c:spPr>
        <a:noFill/>
        <a:ln w="3584">
          <a:solidFill>
            <a:srgbClr val="000000"/>
          </a:solidFill>
          <a:prstDash val="solid"/>
        </a:ln>
      </c:spPr>
      <c:txPr>
        <a:bodyPr/>
        <a:lstStyle/>
        <a:p>
          <a:pPr>
            <a:defRPr sz="830"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354"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6" b="1" i="0" u="none" strike="noStrike" baseline="0">
                <a:solidFill>
                  <a:srgbClr val="000000"/>
                </a:solidFill>
                <a:latin typeface="Times New Roman"/>
                <a:ea typeface="Times New Roman"/>
                <a:cs typeface="Times New Roman"/>
              </a:defRPr>
            </a:pPr>
            <a:r>
              <a:rPr lang="ru-RU"/>
              <a:t>Динамика объема отгруженных товаров собственного производства, выполнено работ и услуг 
собственными силами </a:t>
            </a:r>
          </a:p>
        </c:rich>
      </c:tx>
      <c:layout>
        <c:manualLayout>
          <c:xMode val="edge"/>
          <c:yMode val="edge"/>
          <c:x val="0.11038961038961038"/>
          <c:y val="2.005012531328321E-2"/>
        </c:manualLayout>
      </c:layout>
      <c:spPr>
        <a:noFill/>
        <a:ln w="18612">
          <a:noFill/>
        </a:ln>
      </c:spPr>
    </c:title>
    <c:plotArea>
      <c:layout>
        <c:manualLayout>
          <c:layoutTarget val="inner"/>
          <c:xMode val="edge"/>
          <c:yMode val="edge"/>
          <c:x val="0.16558441558441564"/>
          <c:y val="0.26817042606516289"/>
          <c:w val="0.80844155844155863"/>
          <c:h val="0.52130325814536338"/>
        </c:manualLayout>
      </c:layout>
      <c:barChart>
        <c:barDir val="col"/>
        <c:grouping val="clustered"/>
        <c:ser>
          <c:idx val="1"/>
          <c:order val="0"/>
          <c:tx>
            <c:strRef>
              <c:f>Sheet1!$A$2</c:f>
              <c:strCache>
                <c:ptCount val="1"/>
                <c:pt idx="0">
                  <c:v>в действующих ценах</c:v>
                </c:pt>
              </c:strCache>
            </c:strRef>
          </c:tx>
          <c:spPr>
            <a:gradFill rotWithShape="0">
              <a:gsLst>
                <a:gs pos="0">
                  <a:srgbClr val="0000FF">
                    <a:gamma/>
                    <a:shade val="46275"/>
                    <a:invGamma/>
                  </a:srgbClr>
                </a:gs>
                <a:gs pos="50000">
                  <a:srgbClr val="0000FF"/>
                </a:gs>
                <a:gs pos="100000">
                  <a:srgbClr val="0000FF">
                    <a:gamma/>
                    <a:shade val="46275"/>
                    <a:invGamma/>
                  </a:srgbClr>
                </a:gs>
              </a:gsLst>
              <a:lin ang="5400000" scaled="1"/>
            </a:gradFill>
            <a:ln w="9306">
              <a:solidFill>
                <a:srgbClr val="000000"/>
              </a:solidFill>
              <a:prstDash val="solid"/>
            </a:ln>
          </c:spPr>
          <c:dLbls>
            <c:dLbl>
              <c:idx val="0"/>
              <c:layout>
                <c:manualLayout>
                  <c:x val="-3.239541367142162E-3"/>
                  <c:y val="-5.7394388094267335E-3"/>
                </c:manualLayout>
              </c:layout>
              <c:dLblPos val="outEnd"/>
              <c:showVal val="1"/>
            </c:dLbl>
            <c:dLbl>
              <c:idx val="1"/>
              <c:layout>
                <c:manualLayout>
                  <c:x val="-7.7850391969413631E-3"/>
                  <c:y val="-8.1531992677130721E-3"/>
                </c:manualLayout>
              </c:layout>
              <c:dLblPos val="outEnd"/>
              <c:showVal val="1"/>
            </c:dLbl>
            <c:dLbl>
              <c:idx val="2"/>
              <c:layout>
                <c:manualLayout>
                  <c:x val="6.5664365307941395E-4"/>
                  <c:y val="-1.5511528387229991E-2"/>
                </c:manualLayout>
              </c:layout>
              <c:dLblPos val="outEnd"/>
              <c:showVal val="1"/>
            </c:dLbl>
            <c:dLbl>
              <c:idx val="3"/>
              <c:layout>
                <c:manualLayout>
                  <c:x val="-6.4210092996653861E-4"/>
                  <c:y val="-1.7217788977571914E-2"/>
                </c:manualLayout>
              </c:layout>
              <c:dLblPos val="outEnd"/>
              <c:showVal val="1"/>
            </c:dLbl>
            <c:dLbl>
              <c:idx val="8"/>
              <c:layout>
                <c:manualLayout>
                  <c:x val="-1.0157753850240342E-2"/>
                  <c:y val="-2.1508725925829357E-3"/>
                </c:manualLayout>
              </c:layout>
              <c:dLblPos val="outEnd"/>
              <c:showVal val="1"/>
            </c:dLbl>
            <c:spPr>
              <a:noFill/>
              <a:ln w="18612">
                <a:noFill/>
              </a:ln>
            </c:spPr>
            <c:txPr>
              <a:bodyPr/>
              <a:lstStyle/>
              <a:p>
                <a:pPr>
                  <a:defRPr sz="586" b="1" i="0" u="none" strike="noStrike" baseline="0">
                    <a:solidFill>
                      <a:srgbClr val="0000FF"/>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#,##0.00</c:formatCode>
                <c:ptCount val="10"/>
                <c:pt idx="0">
                  <c:v>4104.3</c:v>
                </c:pt>
                <c:pt idx="1">
                  <c:v>4709.7</c:v>
                </c:pt>
                <c:pt idx="2">
                  <c:v>6159.7</c:v>
                </c:pt>
                <c:pt idx="3">
                  <c:v>8842.2999999999956</c:v>
                </c:pt>
                <c:pt idx="4">
                  <c:v>8727.6</c:v>
                </c:pt>
                <c:pt idx="5">
                  <c:v>10150.200000000004</c:v>
                </c:pt>
                <c:pt idx="6">
                  <c:v>16742.900000000001</c:v>
                </c:pt>
                <c:pt idx="7">
                  <c:v>21311.7</c:v>
                </c:pt>
                <c:pt idx="8">
                  <c:v>18338.900000000001</c:v>
                </c:pt>
                <c:pt idx="9" formatCode="General">
                  <c:v>20818.599999999991</c:v>
                </c:pt>
              </c:numCache>
            </c:numRef>
          </c:val>
        </c:ser>
        <c:dLbls>
          <c:showVal val="1"/>
        </c:dLbls>
        <c:axId val="359360000"/>
        <c:axId val="359361920"/>
      </c:barChart>
      <c:catAx>
        <c:axId val="359360000"/>
        <c:scaling>
          <c:orientation val="minMax"/>
        </c:scaling>
        <c:axPos val="b"/>
        <c:title>
          <c:tx>
            <c:rich>
              <a:bodyPr/>
              <a:lstStyle/>
              <a:p>
                <a:pPr>
                  <a:defRPr sz="733" b="1" i="0" u="none" strike="noStrike" baseline="0">
                    <a:solidFill>
                      <a:srgbClr val="000000"/>
                    </a:solidFill>
                    <a:latin typeface="Arial"/>
                    <a:ea typeface="Arial"/>
                    <a:cs typeface="Arial"/>
                  </a:defRPr>
                </a:pPr>
                <a:r>
                  <a:rPr lang="ru-RU"/>
                  <a:t>годы</a:t>
                </a:r>
              </a:p>
            </c:rich>
          </c:tx>
          <c:layout>
            <c:manualLayout>
              <c:xMode val="edge"/>
              <c:yMode val="edge"/>
              <c:x val="0.54058441558441561"/>
              <c:y val="0.8671679197994987"/>
            </c:manualLayout>
          </c:layout>
          <c:spPr>
            <a:noFill/>
            <a:ln w="18612">
              <a:noFill/>
            </a:ln>
          </c:spPr>
        </c:title>
        <c:numFmt formatCode="General" sourceLinked="1"/>
        <c:majorTickMark val="cross"/>
        <c:tickLblPos val="nextTo"/>
        <c:spPr>
          <a:ln w="2327">
            <a:solidFill>
              <a:srgbClr val="000000"/>
            </a:solidFill>
            <a:prstDash val="solid"/>
          </a:ln>
        </c:spPr>
        <c:txPr>
          <a:bodyPr rot="0" vert="horz"/>
          <a:lstStyle/>
          <a:p>
            <a:pPr>
              <a:defRPr sz="733" b="1" i="0" u="none" strike="noStrike" baseline="0">
                <a:solidFill>
                  <a:srgbClr val="000000"/>
                </a:solidFill>
                <a:latin typeface="Arial"/>
                <a:ea typeface="Arial"/>
                <a:cs typeface="Arial"/>
              </a:defRPr>
            </a:pPr>
            <a:endParaRPr lang="ru-RU"/>
          </a:p>
        </c:txPr>
        <c:crossAx val="359361920"/>
        <c:crosses val="autoZero"/>
        <c:lblAlgn val="ctr"/>
        <c:lblOffset val="100"/>
        <c:tickLblSkip val="1"/>
        <c:tickMarkSkip val="1"/>
      </c:catAx>
      <c:valAx>
        <c:axId val="359361920"/>
        <c:scaling>
          <c:orientation val="minMax"/>
          <c:max val="25000"/>
          <c:min val="0"/>
        </c:scaling>
        <c:axPos val="l"/>
        <c:title>
          <c:tx>
            <c:rich>
              <a:bodyPr/>
              <a:lstStyle/>
              <a:p>
                <a:pPr>
                  <a:defRPr sz="733" b="1" i="0" u="none" strike="noStrike" baseline="0">
                    <a:solidFill>
                      <a:srgbClr val="000000"/>
                    </a:solidFill>
                    <a:latin typeface="Arial"/>
                    <a:ea typeface="Arial"/>
                    <a:cs typeface="Arial"/>
                  </a:defRPr>
                </a:pPr>
                <a:r>
                  <a:rPr lang="ru-RU"/>
                  <a:t>млн.рублей</a:t>
                </a:r>
              </a:p>
            </c:rich>
          </c:tx>
          <c:layout>
            <c:manualLayout>
              <c:xMode val="edge"/>
              <c:yMode val="edge"/>
              <c:x val="1.6233766233766239E-2"/>
              <c:y val="0.42857142857142855"/>
            </c:manualLayout>
          </c:layout>
          <c:spPr>
            <a:noFill/>
            <a:ln w="18612">
              <a:noFill/>
            </a:ln>
          </c:spPr>
        </c:title>
        <c:numFmt formatCode="#,##0.00" sourceLinked="1"/>
        <c:majorTickMark val="cross"/>
        <c:tickLblPos val="nextTo"/>
        <c:spPr>
          <a:ln w="2327">
            <a:solidFill>
              <a:srgbClr val="000000"/>
            </a:solidFill>
            <a:prstDash val="solid"/>
          </a:ln>
        </c:spPr>
        <c:txPr>
          <a:bodyPr rot="0" vert="horz"/>
          <a:lstStyle/>
          <a:p>
            <a:pPr>
              <a:defRPr sz="733" b="1" i="0" u="none" strike="noStrike" baseline="0">
                <a:solidFill>
                  <a:srgbClr val="0000FF"/>
                </a:solidFill>
                <a:latin typeface="Arial"/>
                <a:ea typeface="Arial"/>
                <a:cs typeface="Arial"/>
              </a:defRPr>
            </a:pPr>
            <a:endParaRPr lang="ru-RU"/>
          </a:p>
        </c:txPr>
        <c:crossAx val="359360000"/>
        <c:crosses val="autoZero"/>
        <c:crossBetween val="between"/>
      </c:valAx>
      <c:spPr>
        <a:blipFill dpi="0" rotWithShape="0">
          <a:blip xmlns:r="http://schemas.openxmlformats.org/officeDocument/2006/relationships" r:embed="rId1"/>
          <a:srcRect/>
          <a:tile tx="0" ty="0" sx="100000" sy="100000" flip="none" algn="tl"/>
        </a:blipFill>
        <a:ln w="9306">
          <a:solidFill>
            <a:srgbClr val="808080"/>
          </a:solidFill>
          <a:prstDash val="solid"/>
        </a:ln>
      </c:spPr>
    </c:plotArea>
    <c:legend>
      <c:legendPos val="b"/>
      <c:layout>
        <c:manualLayout>
          <c:xMode val="edge"/>
          <c:yMode val="edge"/>
          <c:x val="0.39610389610389624"/>
          <c:y val="0.9323308270676689"/>
          <c:w val="0.25324675324675322"/>
          <c:h val="6.0150375939849635E-2"/>
        </c:manualLayout>
      </c:layout>
      <c:spPr>
        <a:solidFill>
          <a:srgbClr val="FFFFFF"/>
        </a:solidFill>
        <a:ln w="2327">
          <a:solidFill>
            <a:srgbClr val="000000"/>
          </a:solidFill>
          <a:prstDash val="solid"/>
        </a:ln>
      </c:spPr>
      <c:txPr>
        <a:bodyPr/>
        <a:lstStyle/>
        <a:p>
          <a:pPr>
            <a:defRPr sz="674" b="0" i="0" u="none" strike="noStrike" baseline="0">
              <a:solidFill>
                <a:srgbClr val="000000"/>
              </a:solidFill>
              <a:latin typeface="Arial"/>
              <a:ea typeface="Arial"/>
              <a:cs typeface="Arial"/>
            </a:defRPr>
          </a:pPr>
          <a:endParaRPr lang="ru-RU"/>
        </a:p>
      </c:txPr>
    </c:legend>
    <c:plotVisOnly val="1"/>
    <c:dispBlanksAs val="gap"/>
  </c:chart>
  <c:spPr>
    <a:noFill/>
    <a:ln w="2327">
      <a:solidFill>
        <a:srgbClr val="000000"/>
      </a:solidFill>
      <a:prstDash val="solid"/>
    </a:ln>
  </c:spPr>
  <c:txPr>
    <a:bodyPr/>
    <a:lstStyle/>
    <a:p>
      <a:pPr>
        <a:defRPr sz="733" b="0" i="0" u="none" strike="noStrike" baseline="0">
          <a:solidFill>
            <a:srgbClr val="000000"/>
          </a:solidFill>
          <a:latin typeface="Arial"/>
          <a:ea typeface="Arial"/>
          <a:cs typeface="Arial"/>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9" b="1" i="0" u="none" strike="noStrike" baseline="0">
                <a:solidFill>
                  <a:srgbClr val="000000"/>
                </a:solidFill>
                <a:latin typeface="Times New Roman"/>
                <a:ea typeface="Times New Roman"/>
                <a:cs typeface="Times New Roman"/>
              </a:defRPr>
            </a:pPr>
            <a:r>
              <a:rPr lang="ru-RU"/>
              <a:t>Добыча полезных ископаемых</a:t>
            </a:r>
          </a:p>
        </c:rich>
      </c:tx>
      <c:layout>
        <c:manualLayout>
          <c:xMode val="edge"/>
          <c:yMode val="edge"/>
          <c:x val="0.27980922098569166"/>
          <c:y val="2.0057306590257881E-2"/>
        </c:manualLayout>
      </c:layout>
      <c:spPr>
        <a:noFill/>
        <a:ln w="18673">
          <a:noFill/>
        </a:ln>
      </c:spPr>
    </c:title>
    <c:plotArea>
      <c:layout>
        <c:manualLayout>
          <c:layoutTarget val="inner"/>
          <c:xMode val="edge"/>
          <c:yMode val="edge"/>
          <c:x val="0.15421303656597785"/>
          <c:y val="0.20057306590257873"/>
          <c:w val="0.81081081081081108"/>
          <c:h val="0.4641833810888254"/>
        </c:manualLayout>
      </c:layout>
      <c:barChart>
        <c:barDir val="col"/>
        <c:grouping val="clustered"/>
        <c:ser>
          <c:idx val="1"/>
          <c:order val="0"/>
          <c:tx>
            <c:strRef>
              <c:f>Sheet1!$A$2</c:f>
              <c:strCache>
                <c:ptCount val="1"/>
                <c:pt idx="0">
                  <c:v>в действующих ценах</c:v>
                </c:pt>
              </c:strCache>
            </c:strRef>
          </c:tx>
          <c:spPr>
            <a:gradFill rotWithShape="0">
              <a:gsLst>
                <a:gs pos="0">
                  <a:srgbClr val="0000FF">
                    <a:gamma/>
                    <a:shade val="46275"/>
                    <a:invGamma/>
                  </a:srgbClr>
                </a:gs>
                <a:gs pos="50000">
                  <a:srgbClr val="0000FF"/>
                </a:gs>
                <a:gs pos="100000">
                  <a:srgbClr val="0000FF">
                    <a:gamma/>
                    <a:shade val="46275"/>
                    <a:invGamma/>
                  </a:srgbClr>
                </a:gs>
              </a:gsLst>
              <a:lin ang="5400000" scaled="1"/>
            </a:gradFill>
            <a:ln w="9336">
              <a:solidFill>
                <a:srgbClr val="000000"/>
              </a:solidFill>
              <a:prstDash val="solid"/>
            </a:ln>
          </c:spPr>
          <c:dLbls>
            <c:dLbl>
              <c:idx val="0"/>
              <c:layout>
                <c:manualLayout>
                  <c:x val="-9.6092677581094573E-4"/>
                  <c:y val="-9.6730166818956298E-3"/>
                </c:manualLayout>
              </c:layout>
              <c:dLblPos val="outEnd"/>
              <c:showVal val="1"/>
            </c:dLbl>
            <c:dLbl>
              <c:idx val="1"/>
              <c:layout>
                <c:manualLayout>
                  <c:x val="-7.3201387381546437E-3"/>
                  <c:y val="-1.2967326648958669E-2"/>
                </c:manualLayout>
              </c:layout>
              <c:dLblPos val="outEnd"/>
              <c:showVal val="1"/>
            </c:dLbl>
            <c:dLbl>
              <c:idx val="2"/>
              <c:layout>
                <c:manualLayout>
                  <c:x val="6.2891162061653636E-4"/>
                  <c:y val="-1.9419203330509387E-2"/>
                </c:manualLayout>
              </c:layout>
              <c:dLblPos val="outEnd"/>
              <c:showVal val="1"/>
            </c:dLbl>
            <c:dLbl>
              <c:idx val="3"/>
              <c:layout>
                <c:manualLayout>
                  <c:x val="6.2900013522038817E-4"/>
                  <c:y val="-1.7571669650611358E-2"/>
                </c:manualLayout>
              </c:layout>
              <c:dLblPos val="outEnd"/>
              <c:showVal val="1"/>
            </c:dLbl>
            <c:dLbl>
              <c:idx val="7"/>
              <c:layout>
                <c:manualLayout>
                  <c:x val="-3.4126629286524067E-2"/>
                  <c:y val="-1.3809776633116113E-2"/>
                </c:manualLayout>
              </c:layout>
              <c:dLblPos val="outEnd"/>
              <c:showVal val="1"/>
            </c:dLbl>
            <c:dLbl>
              <c:idx val="8"/>
              <c:layout>
                <c:manualLayout>
                  <c:x val="-1.1869152854621241E-2"/>
                  <c:y val="-2.0194047322917432E-2"/>
                </c:manualLayout>
              </c:layout>
              <c:dLblPos val="outEnd"/>
              <c:showVal val="1"/>
            </c:dLbl>
            <c:dLbl>
              <c:idx val="9"/>
              <c:layout>
                <c:manualLayout>
                  <c:x val="-1.061014794342635E-2"/>
                  <c:y val="-4.062536911522497E-2"/>
                </c:manualLayout>
              </c:layout>
              <c:dLblPos val="outEnd"/>
              <c:showVal val="1"/>
            </c:dLbl>
            <c:spPr>
              <a:noFill/>
              <a:ln w="18673">
                <a:noFill/>
              </a:ln>
            </c:spPr>
            <c:txPr>
              <a:bodyPr/>
              <a:lstStyle/>
              <a:p>
                <a:pPr>
                  <a:defRPr sz="588" b="1" i="0" u="none" strike="noStrike" baseline="0">
                    <a:solidFill>
                      <a:srgbClr val="0000FF"/>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#,##0.00</c:formatCode>
                <c:ptCount val="10"/>
                <c:pt idx="0">
                  <c:v>4079.6</c:v>
                </c:pt>
                <c:pt idx="1">
                  <c:v>4678.4000000000005</c:v>
                </c:pt>
                <c:pt idx="2">
                  <c:v>6128.8</c:v>
                </c:pt>
                <c:pt idx="3">
                  <c:v>8801</c:v>
                </c:pt>
                <c:pt idx="4">
                  <c:v>8531.6</c:v>
                </c:pt>
                <c:pt idx="5">
                  <c:v>9922.4</c:v>
                </c:pt>
                <c:pt idx="6">
                  <c:v>16358.3</c:v>
                </c:pt>
                <c:pt idx="7">
                  <c:v>19210</c:v>
                </c:pt>
                <c:pt idx="8">
                  <c:v>16712.7</c:v>
                </c:pt>
                <c:pt idx="9" formatCode="General">
                  <c:v>18918.8</c:v>
                </c:pt>
              </c:numCache>
            </c:numRef>
          </c:val>
        </c:ser>
        <c:dLbls>
          <c:showVal val="1"/>
        </c:dLbls>
        <c:axId val="359489536"/>
        <c:axId val="359491456"/>
      </c:barChart>
      <c:catAx>
        <c:axId val="359489536"/>
        <c:scaling>
          <c:orientation val="minMax"/>
        </c:scaling>
        <c:axPos val="b"/>
        <c:title>
          <c:tx>
            <c:rich>
              <a:bodyPr/>
              <a:lstStyle/>
              <a:p>
                <a:pPr>
                  <a:defRPr sz="735" b="1" i="0" u="none" strike="noStrike" baseline="0">
                    <a:solidFill>
                      <a:srgbClr val="000000"/>
                    </a:solidFill>
                    <a:latin typeface="Arial"/>
                    <a:ea typeface="Arial"/>
                    <a:cs typeface="Arial"/>
                  </a:defRPr>
                </a:pPr>
                <a:r>
                  <a:rPr lang="ru-RU"/>
                  <a:t>годы</a:t>
                </a:r>
              </a:p>
            </c:rich>
          </c:tx>
          <c:layout>
            <c:manualLayout>
              <c:xMode val="edge"/>
              <c:yMode val="edge"/>
              <c:x val="0.53100158982511902"/>
              <c:y val="0.75358166189111753"/>
            </c:manualLayout>
          </c:layout>
          <c:spPr>
            <a:noFill/>
            <a:ln w="18673">
              <a:noFill/>
            </a:ln>
          </c:spPr>
        </c:title>
        <c:numFmt formatCode="General" sourceLinked="1"/>
        <c:majorTickMark val="cross"/>
        <c:tickLblPos val="nextTo"/>
        <c:spPr>
          <a:ln w="2334">
            <a:solidFill>
              <a:srgbClr val="000000"/>
            </a:solidFill>
            <a:prstDash val="solid"/>
          </a:ln>
        </c:spPr>
        <c:txPr>
          <a:bodyPr rot="0" vert="horz"/>
          <a:lstStyle/>
          <a:p>
            <a:pPr>
              <a:defRPr sz="735" b="1" i="0" u="none" strike="noStrike" baseline="0">
                <a:solidFill>
                  <a:srgbClr val="000000"/>
                </a:solidFill>
                <a:latin typeface="Arial"/>
                <a:ea typeface="Arial"/>
                <a:cs typeface="Arial"/>
              </a:defRPr>
            </a:pPr>
            <a:endParaRPr lang="ru-RU"/>
          </a:p>
        </c:txPr>
        <c:crossAx val="359491456"/>
        <c:crosses val="autoZero"/>
        <c:lblAlgn val="ctr"/>
        <c:lblOffset val="100"/>
        <c:tickLblSkip val="1"/>
        <c:tickMarkSkip val="1"/>
      </c:catAx>
      <c:valAx>
        <c:axId val="359491456"/>
        <c:scaling>
          <c:orientation val="minMax"/>
          <c:max val="20000"/>
          <c:min val="0"/>
        </c:scaling>
        <c:axPos val="l"/>
        <c:title>
          <c:tx>
            <c:rich>
              <a:bodyPr/>
              <a:lstStyle/>
              <a:p>
                <a:pPr>
                  <a:defRPr sz="735" b="1" i="0" u="none" strike="noStrike" baseline="0">
                    <a:solidFill>
                      <a:srgbClr val="000000"/>
                    </a:solidFill>
                    <a:latin typeface="Arial"/>
                    <a:ea typeface="Arial"/>
                    <a:cs typeface="Arial"/>
                  </a:defRPr>
                </a:pPr>
                <a:r>
                  <a:rPr lang="ru-RU"/>
                  <a:t>млн.рублей</a:t>
                </a:r>
              </a:p>
            </c:rich>
          </c:tx>
          <c:layout>
            <c:manualLayout>
              <c:xMode val="edge"/>
              <c:yMode val="edge"/>
              <c:x val="7.9491255961844226E-3"/>
              <c:y val="0.31805157593123218"/>
            </c:manualLayout>
          </c:layout>
          <c:spPr>
            <a:noFill/>
            <a:ln w="18673">
              <a:noFill/>
            </a:ln>
          </c:spPr>
        </c:title>
        <c:numFmt formatCode="#,##0.00" sourceLinked="1"/>
        <c:majorTickMark val="cross"/>
        <c:tickLblPos val="nextTo"/>
        <c:spPr>
          <a:ln w="2334">
            <a:solidFill>
              <a:srgbClr val="000000"/>
            </a:solidFill>
            <a:prstDash val="solid"/>
          </a:ln>
        </c:spPr>
        <c:txPr>
          <a:bodyPr rot="0" vert="horz"/>
          <a:lstStyle/>
          <a:p>
            <a:pPr>
              <a:defRPr sz="735" b="1" i="0" u="none" strike="noStrike" baseline="0">
                <a:solidFill>
                  <a:srgbClr val="0000FF"/>
                </a:solidFill>
                <a:latin typeface="Arial"/>
                <a:ea typeface="Arial"/>
                <a:cs typeface="Arial"/>
              </a:defRPr>
            </a:pPr>
            <a:endParaRPr lang="ru-RU"/>
          </a:p>
        </c:txPr>
        <c:crossAx val="359489536"/>
        <c:crosses val="autoZero"/>
        <c:crossBetween val="between"/>
      </c:valAx>
      <c:spPr>
        <a:blipFill dpi="0" rotWithShape="0">
          <a:blip xmlns:r="http://schemas.openxmlformats.org/officeDocument/2006/relationships" r:embed="rId1"/>
          <a:srcRect/>
          <a:tile tx="0" ty="0" sx="100000" sy="100000" flip="none" algn="tl"/>
        </a:blipFill>
        <a:ln w="9336">
          <a:solidFill>
            <a:srgbClr val="808080"/>
          </a:solidFill>
          <a:prstDash val="solid"/>
        </a:ln>
      </c:spPr>
    </c:plotArea>
    <c:legend>
      <c:legendPos val="b"/>
      <c:layout>
        <c:manualLayout>
          <c:xMode val="edge"/>
          <c:yMode val="edge"/>
          <c:x val="0.39745627980922132"/>
          <c:y val="0.82808022922636082"/>
          <c:w val="0.24801271860095389"/>
          <c:h val="6.8767908309455589E-2"/>
        </c:manualLayout>
      </c:layout>
      <c:spPr>
        <a:solidFill>
          <a:srgbClr val="FFFFFF"/>
        </a:solidFill>
        <a:ln w="2334">
          <a:solidFill>
            <a:srgbClr val="000000"/>
          </a:solidFill>
          <a:prstDash val="solid"/>
        </a:ln>
      </c:spPr>
      <c:txPr>
        <a:bodyPr/>
        <a:lstStyle/>
        <a:p>
          <a:pPr>
            <a:defRPr sz="676" b="0" i="0" u="none" strike="noStrike" baseline="0">
              <a:solidFill>
                <a:srgbClr val="000000"/>
              </a:solidFill>
              <a:latin typeface="Arial"/>
              <a:ea typeface="Arial"/>
              <a:cs typeface="Arial"/>
            </a:defRPr>
          </a:pPr>
          <a:endParaRPr lang="ru-RU"/>
        </a:p>
      </c:txPr>
    </c:legend>
    <c:plotVisOnly val="1"/>
    <c:dispBlanksAs val="gap"/>
  </c:chart>
  <c:spPr>
    <a:noFill/>
    <a:ln w="233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29" b="1" i="0" u="none" strike="noStrike" baseline="0">
                <a:solidFill>
                  <a:srgbClr val="000000"/>
                </a:solidFill>
                <a:latin typeface="Times New Roman"/>
                <a:ea typeface="Times New Roman"/>
                <a:cs typeface="Times New Roman"/>
              </a:defRPr>
            </a:pPr>
            <a:r>
              <a:rPr lang="ru-RU"/>
              <a:t>Обрабатывающие производства</a:t>
            </a:r>
          </a:p>
        </c:rich>
      </c:tx>
      <c:layout>
        <c:manualLayout>
          <c:xMode val="edge"/>
          <c:yMode val="edge"/>
          <c:x val="0.26879999999999998"/>
          <c:y val="1.9021739130434791E-2"/>
        </c:manualLayout>
      </c:layout>
      <c:spPr>
        <a:noFill/>
        <a:ln w="18667">
          <a:noFill/>
        </a:ln>
      </c:spPr>
    </c:title>
    <c:plotArea>
      <c:layout>
        <c:manualLayout>
          <c:layoutTarget val="inner"/>
          <c:xMode val="edge"/>
          <c:yMode val="edge"/>
          <c:x val="8.8000000000000037E-2"/>
          <c:y val="0.18478260869565216"/>
          <c:w val="0.8752000000000002"/>
          <c:h val="0.45108695652173914"/>
        </c:manualLayout>
      </c:layout>
      <c:barChart>
        <c:barDir val="col"/>
        <c:grouping val="clustered"/>
        <c:ser>
          <c:idx val="1"/>
          <c:order val="0"/>
          <c:tx>
            <c:strRef>
              <c:f>Sheet1!$A$2</c:f>
              <c:strCache>
                <c:ptCount val="1"/>
                <c:pt idx="0">
                  <c:v>в действующих ценах</c:v>
                </c:pt>
              </c:strCache>
            </c:strRef>
          </c:tx>
          <c:spPr>
            <a:gradFill rotWithShape="0">
              <a:gsLst>
                <a:gs pos="0">
                  <a:srgbClr val="0000FF">
                    <a:gamma/>
                    <a:shade val="46275"/>
                    <a:invGamma/>
                  </a:srgbClr>
                </a:gs>
                <a:gs pos="50000">
                  <a:srgbClr val="0000FF"/>
                </a:gs>
                <a:gs pos="100000">
                  <a:srgbClr val="0000FF">
                    <a:gamma/>
                    <a:shade val="46275"/>
                    <a:invGamma/>
                  </a:srgbClr>
                </a:gs>
              </a:gsLst>
              <a:lin ang="5400000" scaled="1"/>
            </a:gradFill>
            <a:ln w="9333">
              <a:solidFill>
                <a:srgbClr val="000000"/>
              </a:solidFill>
              <a:prstDash val="solid"/>
            </a:ln>
          </c:spPr>
          <c:dLbls>
            <c:dLbl>
              <c:idx val="0"/>
              <c:layout>
                <c:manualLayout>
                  <c:x val="4.8992854540869492E-3"/>
                  <c:y val="-9.1845784697868818E-3"/>
                </c:manualLayout>
              </c:layout>
              <c:dLblPos val="outEnd"/>
              <c:showVal val="1"/>
            </c:dLbl>
            <c:dLbl>
              <c:idx val="1"/>
              <c:layout>
                <c:manualLayout>
                  <c:x val="-1.0206385914132464E-3"/>
                  <c:y val="-1.2471118124752835E-2"/>
                </c:manualLayout>
              </c:layout>
              <c:dLblPos val="outEnd"/>
              <c:showVal val="1"/>
            </c:dLbl>
            <c:dLbl>
              <c:idx val="2"/>
              <c:layout>
                <c:manualLayout>
                  <c:x val="5.8592725312727892E-3"/>
                  <c:y val="-1.6155371786853494E-2"/>
                </c:manualLayout>
              </c:layout>
              <c:dLblPos val="outEnd"/>
              <c:showVal val="1"/>
            </c:dLbl>
            <c:dLbl>
              <c:idx val="3"/>
              <c:layout>
                <c:manualLayout>
                  <c:x val="4.9620811005491585E-3"/>
                  <c:y val="-1.7498372937289657E-2"/>
                </c:manualLayout>
              </c:layout>
              <c:dLblPos val="outEnd"/>
              <c:showVal val="1"/>
            </c:dLbl>
            <c:spPr>
              <a:noFill/>
              <a:ln w="18667">
                <a:noFill/>
              </a:ln>
            </c:spPr>
            <c:txPr>
              <a:bodyPr/>
              <a:lstStyle/>
              <a:p>
                <a:pPr>
                  <a:defRPr sz="588" b="1" i="0" u="none" strike="noStrike" baseline="0">
                    <a:solidFill>
                      <a:srgbClr val="0000FF"/>
                    </a:solidFill>
                    <a:latin typeface="Arial"/>
                    <a:ea typeface="Arial"/>
                    <a:cs typeface="Arial"/>
                  </a:defRPr>
                </a:pPr>
                <a:endParaRPr lang="ru-RU"/>
              </a:p>
            </c:txPr>
            <c:showVal val="1"/>
          </c:dLbls>
          <c:cat>
            <c:numRef>
              <c:f>Sheet1!$B$1:$K$1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Sheet1!$B$2:$K$2</c:f>
              <c:numCache>
                <c:formatCode>#,##0.00</c:formatCode>
                <c:ptCount val="10"/>
                <c:pt idx="0">
                  <c:v>2.6</c:v>
                </c:pt>
                <c:pt idx="1">
                  <c:v>4.5999999999999996</c:v>
                </c:pt>
                <c:pt idx="2">
                  <c:v>3.7</c:v>
                </c:pt>
                <c:pt idx="3">
                  <c:v>15.1</c:v>
                </c:pt>
                <c:pt idx="4">
                  <c:v>7.3</c:v>
                </c:pt>
                <c:pt idx="5">
                  <c:v>154.30000000000001</c:v>
                </c:pt>
                <c:pt idx="6">
                  <c:v>251.4</c:v>
                </c:pt>
                <c:pt idx="7">
                  <c:v>403.1</c:v>
                </c:pt>
                <c:pt idx="8" formatCode="General">
                  <c:v>313.7</c:v>
                </c:pt>
                <c:pt idx="9" formatCode="General">
                  <c:v>357.3</c:v>
                </c:pt>
              </c:numCache>
            </c:numRef>
          </c:val>
        </c:ser>
        <c:dLbls>
          <c:showVal val="1"/>
        </c:dLbls>
        <c:axId val="352745728"/>
        <c:axId val="352760192"/>
      </c:barChart>
      <c:catAx>
        <c:axId val="352745728"/>
        <c:scaling>
          <c:orientation val="minMax"/>
        </c:scaling>
        <c:axPos val="b"/>
        <c:title>
          <c:tx>
            <c:rich>
              <a:bodyPr/>
              <a:lstStyle/>
              <a:p>
                <a:pPr>
                  <a:defRPr sz="735" b="1" i="0" u="none" strike="noStrike" baseline="0">
                    <a:solidFill>
                      <a:srgbClr val="000000"/>
                    </a:solidFill>
                    <a:latin typeface="Arial"/>
                    <a:ea typeface="Arial"/>
                    <a:cs typeface="Arial"/>
                  </a:defRPr>
                </a:pPr>
                <a:r>
                  <a:rPr lang="ru-RU"/>
                  <a:t>годы</a:t>
                </a:r>
              </a:p>
            </c:rich>
          </c:tx>
          <c:layout>
            <c:manualLayout>
              <c:xMode val="edge"/>
              <c:yMode val="edge"/>
              <c:x val="0.49600000000000011"/>
              <c:y val="0.72010869565217428"/>
            </c:manualLayout>
          </c:layout>
          <c:spPr>
            <a:noFill/>
            <a:ln w="18667">
              <a:noFill/>
            </a:ln>
          </c:spPr>
        </c:title>
        <c:numFmt formatCode="General" sourceLinked="1"/>
        <c:majorTickMark val="cross"/>
        <c:tickLblPos val="nextTo"/>
        <c:spPr>
          <a:ln w="2333">
            <a:solidFill>
              <a:srgbClr val="000000"/>
            </a:solidFill>
            <a:prstDash val="solid"/>
          </a:ln>
        </c:spPr>
        <c:txPr>
          <a:bodyPr rot="0" vert="horz"/>
          <a:lstStyle/>
          <a:p>
            <a:pPr>
              <a:defRPr sz="735" b="1" i="0" u="none" strike="noStrike" baseline="0">
                <a:solidFill>
                  <a:srgbClr val="000000"/>
                </a:solidFill>
                <a:latin typeface="Arial"/>
                <a:ea typeface="Arial"/>
                <a:cs typeface="Arial"/>
              </a:defRPr>
            </a:pPr>
            <a:endParaRPr lang="ru-RU"/>
          </a:p>
        </c:txPr>
        <c:crossAx val="352760192"/>
        <c:crosses val="autoZero"/>
        <c:lblAlgn val="ctr"/>
        <c:lblOffset val="100"/>
        <c:tickLblSkip val="1"/>
        <c:tickMarkSkip val="1"/>
      </c:catAx>
      <c:valAx>
        <c:axId val="352760192"/>
        <c:scaling>
          <c:orientation val="minMax"/>
          <c:max val="420"/>
          <c:min val="0"/>
        </c:scaling>
        <c:axPos val="l"/>
        <c:title>
          <c:tx>
            <c:rich>
              <a:bodyPr/>
              <a:lstStyle/>
              <a:p>
                <a:pPr>
                  <a:defRPr sz="735" b="1" i="0" u="none" strike="noStrike" baseline="0">
                    <a:solidFill>
                      <a:srgbClr val="000000"/>
                    </a:solidFill>
                    <a:latin typeface="Arial"/>
                    <a:ea typeface="Arial"/>
                    <a:cs typeface="Arial"/>
                  </a:defRPr>
                </a:pPr>
                <a:r>
                  <a:rPr lang="ru-RU"/>
                  <a:t>млн.рублей</a:t>
                </a:r>
              </a:p>
            </c:rich>
          </c:tx>
          <c:layout>
            <c:manualLayout>
              <c:xMode val="edge"/>
              <c:yMode val="edge"/>
              <c:x val="6.400000000000002E-3"/>
              <c:y val="0.30163043478260881"/>
            </c:manualLayout>
          </c:layout>
          <c:spPr>
            <a:noFill/>
            <a:ln w="18667">
              <a:noFill/>
            </a:ln>
          </c:spPr>
        </c:title>
        <c:numFmt formatCode="#,##0.00" sourceLinked="1"/>
        <c:majorTickMark val="cross"/>
        <c:tickLblPos val="nextTo"/>
        <c:spPr>
          <a:ln w="2333">
            <a:solidFill>
              <a:srgbClr val="000000"/>
            </a:solidFill>
            <a:prstDash val="solid"/>
          </a:ln>
        </c:spPr>
        <c:txPr>
          <a:bodyPr rot="0" vert="horz"/>
          <a:lstStyle/>
          <a:p>
            <a:pPr>
              <a:defRPr sz="441" b="1" i="0" u="none" strike="noStrike" baseline="0">
                <a:solidFill>
                  <a:srgbClr val="0000FF"/>
                </a:solidFill>
                <a:latin typeface="Arial"/>
                <a:ea typeface="Arial"/>
                <a:cs typeface="Arial"/>
              </a:defRPr>
            </a:pPr>
            <a:endParaRPr lang="ru-RU"/>
          </a:p>
        </c:txPr>
        <c:crossAx val="352745728"/>
        <c:crosses val="autoZero"/>
        <c:crossBetween val="between"/>
        <c:majorUnit val="20"/>
        <c:minorUnit val="10"/>
      </c:valAx>
      <c:spPr>
        <a:blipFill dpi="0" rotWithShape="0">
          <a:blip xmlns:r="http://schemas.openxmlformats.org/officeDocument/2006/relationships" r:embed="rId1"/>
          <a:srcRect/>
          <a:tile tx="0" ty="0" sx="100000" sy="100000" flip="none" algn="tl"/>
        </a:blipFill>
        <a:ln w="9333">
          <a:solidFill>
            <a:srgbClr val="808080"/>
          </a:solidFill>
          <a:prstDash val="solid"/>
        </a:ln>
      </c:spPr>
    </c:plotArea>
    <c:legend>
      <c:legendPos val="r"/>
      <c:layout>
        <c:manualLayout>
          <c:xMode val="edge"/>
          <c:yMode val="edge"/>
          <c:x val="0.36160000000000009"/>
          <c:y val="0.79891304347826086"/>
          <c:w val="0.24960000000000004"/>
          <c:h val="6.5217391304347824E-2"/>
        </c:manualLayout>
      </c:layout>
      <c:spPr>
        <a:solidFill>
          <a:srgbClr val="FFFFFF"/>
        </a:solidFill>
        <a:ln w="2333">
          <a:solidFill>
            <a:srgbClr val="000000"/>
          </a:solidFill>
          <a:prstDash val="solid"/>
        </a:ln>
      </c:spPr>
      <c:txPr>
        <a:bodyPr/>
        <a:lstStyle/>
        <a:p>
          <a:pPr>
            <a:defRPr sz="676" b="0" i="0" u="none" strike="noStrike" baseline="0">
              <a:solidFill>
                <a:srgbClr val="000000"/>
              </a:solidFill>
              <a:latin typeface="Arial"/>
              <a:ea typeface="Arial"/>
              <a:cs typeface="Arial"/>
            </a:defRPr>
          </a:pPr>
          <a:endParaRPr lang="ru-RU"/>
        </a:p>
      </c:txPr>
    </c:legend>
    <c:plotVisOnly val="1"/>
    <c:dispBlanksAs val="gap"/>
  </c:chart>
  <c:spPr>
    <a:noFill/>
    <a:ln w="233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24</Pages>
  <Words>5064</Words>
  <Characters>28867</Characters>
  <Application>Microsoft Office Word</Application>
  <DocSecurity>0</DocSecurity>
  <Lines>240</Lines>
  <Paragraphs>67</Paragraphs>
  <ScaleCrop>false</ScaleCrop>
  <Company/>
  <LinksUpToDate>false</LinksUpToDate>
  <CharactersWithSpaces>33864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Томарова</dc:creator>
  <cp:keywords/>
  <dc:description/>
  <cp:lastModifiedBy>Томарова</cp:lastModifiedBy>
  <cp:revision>3</cp:revision>
  <dcterms:created xsi:type="dcterms:W3CDTF">2019-10-09T09:17:00Z</dcterms:created>
  <dcterms:modified xsi:type="dcterms:W3CDTF">2019-10-09T09:20:00Z</dcterms:modified>
</cp:coreProperties>
</file>