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9558"/>
      </w:tblGrid>
      <w:tr w:rsidR="00C81F43" w:rsidRPr="00C81F43" w:rsidTr="00C81F43">
        <w:trPr>
          <w:trHeight w:val="3314"/>
          <w:jc w:val="center"/>
        </w:trPr>
        <w:tc>
          <w:tcPr>
            <w:tcW w:w="9557" w:type="dxa"/>
          </w:tcPr>
          <w:p w:rsidR="00C81F43" w:rsidRPr="00C81F43" w:rsidRDefault="00C81F43" w:rsidP="00C81F43">
            <w:pPr>
              <w:pStyle w:val="a7"/>
              <w:jc w:val="center"/>
              <w:rPr>
                <w:rFonts w:ascii="Times New Roman" w:hAnsi="Times New Roman"/>
              </w:rPr>
            </w:pPr>
            <w:r w:rsidRPr="00C81F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C83EFE1" wp14:editId="0C96542C">
                  <wp:extent cx="765810" cy="893445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F43" w:rsidRPr="00C81F43" w:rsidRDefault="00C81F43" w:rsidP="00C81F4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81F43" w:rsidRPr="00C81F43" w:rsidRDefault="00C81F43" w:rsidP="00C81F43">
            <w:pPr>
              <w:pStyle w:val="a7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sz w:val="28"/>
              </w:rPr>
            </w:pPr>
            <w:r w:rsidRPr="00C81F43">
              <w:rPr>
                <w:rFonts w:ascii="Times New Roman" w:hAnsi="Times New Roman"/>
                <w:sz w:val="28"/>
              </w:rPr>
              <w:t>АДМИНИСТРАЦИЯ ПЛАСТОВСКОГО МУНИЦИПАЛЬНОГО РАЙОНА</w:t>
            </w:r>
          </w:p>
          <w:p w:rsidR="00C81F43" w:rsidRPr="00C81F43" w:rsidRDefault="00C81F43" w:rsidP="00C81F4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81F43" w:rsidRPr="00C81F43" w:rsidRDefault="00C81F43" w:rsidP="00C81F43">
            <w:pPr>
              <w:pStyle w:val="a7"/>
              <w:pBdr>
                <w:bottom w:val="single" w:sz="12" w:space="1" w:color="auto"/>
              </w:pBdr>
              <w:ind w:right="-1122"/>
              <w:jc w:val="center"/>
              <w:rPr>
                <w:rFonts w:ascii="Times New Roman" w:hAnsi="Times New Roman"/>
                <w:spacing w:val="48"/>
                <w:sz w:val="40"/>
                <w:szCs w:val="40"/>
              </w:rPr>
            </w:pPr>
            <w:r w:rsidRPr="00C81F43">
              <w:rPr>
                <w:rFonts w:ascii="Times New Roman" w:hAnsi="Times New Roman"/>
                <w:spacing w:val="48"/>
                <w:sz w:val="40"/>
                <w:szCs w:val="40"/>
              </w:rPr>
              <w:t>ПОСТАНОВЛЕНИЕ</w:t>
            </w:r>
          </w:p>
          <w:p w:rsidR="00C81F43" w:rsidRPr="00C81F43" w:rsidRDefault="00C81F43" w:rsidP="00C81F4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81F43" w:rsidRPr="00C81F43" w:rsidRDefault="00C81F43" w:rsidP="00B80425">
            <w:pPr>
              <w:pStyle w:val="a7"/>
              <w:rPr>
                <w:rFonts w:ascii="Times New Roman" w:hAnsi="Times New Roman"/>
                <w:sz w:val="28"/>
              </w:rPr>
            </w:pPr>
            <w:r w:rsidRPr="00C81F43">
              <w:rPr>
                <w:rFonts w:ascii="Times New Roman" w:hAnsi="Times New Roman"/>
                <w:sz w:val="28"/>
              </w:rPr>
              <w:t>«</w:t>
            </w:r>
            <w:r w:rsidRPr="00C81F43">
              <w:rPr>
                <w:rFonts w:ascii="Times New Roman" w:hAnsi="Times New Roman"/>
              </w:rPr>
              <w:t>_</w:t>
            </w:r>
            <w:r w:rsidR="00B80425">
              <w:rPr>
                <w:rFonts w:ascii="Times New Roman" w:hAnsi="Times New Roman"/>
                <w:sz w:val="28"/>
                <w:szCs w:val="28"/>
              </w:rPr>
              <w:t>24</w:t>
            </w:r>
            <w:r w:rsidRPr="00C81F43">
              <w:rPr>
                <w:rFonts w:ascii="Times New Roman" w:hAnsi="Times New Roman"/>
                <w:sz w:val="28"/>
                <w:szCs w:val="28"/>
              </w:rPr>
              <w:t>_</w:t>
            </w:r>
            <w:r w:rsidRPr="00C81F43">
              <w:rPr>
                <w:rFonts w:ascii="Times New Roman" w:hAnsi="Times New Roman"/>
                <w:sz w:val="24"/>
                <w:szCs w:val="24"/>
              </w:rPr>
              <w:t>»_</w:t>
            </w:r>
            <w:r w:rsidR="00B80425" w:rsidRPr="00B80425">
              <w:rPr>
                <w:rFonts w:ascii="Times New Roman" w:hAnsi="Times New Roman"/>
                <w:sz w:val="28"/>
                <w:szCs w:val="24"/>
              </w:rPr>
              <w:t>01</w:t>
            </w:r>
            <w:r w:rsidRPr="00C81F43">
              <w:rPr>
                <w:rFonts w:ascii="Times New Roman" w:hAnsi="Times New Roman"/>
                <w:sz w:val="24"/>
                <w:szCs w:val="24"/>
              </w:rPr>
              <w:t>___</w:t>
            </w:r>
            <w:r w:rsidRPr="00C81F43">
              <w:rPr>
                <w:rFonts w:ascii="Times New Roman" w:hAnsi="Times New Roman"/>
                <w:sz w:val="28"/>
              </w:rPr>
              <w:t>202</w:t>
            </w:r>
            <w:r w:rsidR="00DE2DBC">
              <w:rPr>
                <w:rFonts w:ascii="Times New Roman" w:hAnsi="Times New Roman"/>
                <w:sz w:val="28"/>
              </w:rPr>
              <w:t>2</w:t>
            </w:r>
            <w:r w:rsidRPr="00C81F43">
              <w:rPr>
                <w:rFonts w:ascii="Times New Roman" w:hAnsi="Times New Roman"/>
                <w:sz w:val="28"/>
              </w:rPr>
              <w:t xml:space="preserve"> г.                                            </w:t>
            </w:r>
            <w:r w:rsidR="00EC07E4">
              <w:rPr>
                <w:rFonts w:ascii="Times New Roman" w:hAnsi="Times New Roman"/>
                <w:sz w:val="28"/>
              </w:rPr>
              <w:t xml:space="preserve">               </w:t>
            </w:r>
            <w:r w:rsidRPr="00C81F43">
              <w:rPr>
                <w:rFonts w:ascii="Times New Roman" w:hAnsi="Times New Roman"/>
                <w:sz w:val="28"/>
              </w:rPr>
              <w:t xml:space="preserve">                       № </w:t>
            </w:r>
            <w:r w:rsidR="00B80425">
              <w:rPr>
                <w:rFonts w:ascii="Times New Roman" w:hAnsi="Times New Roman"/>
                <w:sz w:val="28"/>
              </w:rPr>
              <w:t>38</w:t>
            </w:r>
            <w:r w:rsidRPr="00C81F43">
              <w:rPr>
                <w:rFonts w:ascii="Times New Roman" w:hAnsi="Times New Roman"/>
                <w:sz w:val="28"/>
              </w:rPr>
              <w:t>__</w:t>
            </w:r>
          </w:p>
        </w:tc>
      </w:tr>
    </w:tbl>
    <w:p w:rsidR="00C81F43" w:rsidRPr="00202AE0" w:rsidRDefault="00C81F43" w:rsidP="00C81F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1F43" w:rsidRPr="00962A4F" w:rsidRDefault="00C81F43" w:rsidP="00C81F4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962A4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62A4F">
        <w:rPr>
          <w:rFonts w:ascii="Times New Roman" w:hAnsi="Times New Roman"/>
          <w:sz w:val="28"/>
          <w:szCs w:val="24"/>
          <w:lang w:eastAsia="ru-RU"/>
        </w:rPr>
        <w:t xml:space="preserve">размера вреда, </w:t>
      </w:r>
    </w:p>
    <w:p w:rsidR="00C81F43" w:rsidRPr="00962A4F" w:rsidRDefault="00C81F43" w:rsidP="00C81F4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962A4F">
        <w:rPr>
          <w:rFonts w:ascii="Times New Roman" w:hAnsi="Times New Roman"/>
          <w:sz w:val="28"/>
          <w:szCs w:val="24"/>
          <w:lang w:eastAsia="ru-RU"/>
        </w:rPr>
        <w:t>причиняемого</w:t>
      </w:r>
      <w:proofErr w:type="gramEnd"/>
      <w:r w:rsidRPr="00962A4F">
        <w:rPr>
          <w:rFonts w:ascii="Times New Roman" w:hAnsi="Times New Roman"/>
          <w:sz w:val="28"/>
          <w:szCs w:val="24"/>
          <w:lang w:eastAsia="ru-RU"/>
        </w:rPr>
        <w:t xml:space="preserve"> транспортными средствами, </w:t>
      </w:r>
    </w:p>
    <w:p w:rsidR="00C81F43" w:rsidRPr="00962A4F" w:rsidRDefault="00C81F43" w:rsidP="00C81F4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962A4F">
        <w:rPr>
          <w:rFonts w:ascii="Times New Roman" w:hAnsi="Times New Roman"/>
          <w:sz w:val="28"/>
          <w:szCs w:val="24"/>
          <w:lang w:eastAsia="ru-RU"/>
        </w:rPr>
        <w:t>осуществляющими</w:t>
      </w:r>
      <w:proofErr w:type="gramEnd"/>
      <w:r w:rsidRPr="00962A4F">
        <w:rPr>
          <w:rFonts w:ascii="Times New Roman" w:hAnsi="Times New Roman"/>
          <w:sz w:val="28"/>
          <w:szCs w:val="24"/>
          <w:lang w:eastAsia="ru-RU"/>
        </w:rPr>
        <w:t xml:space="preserve"> перевозки тяжеловесных грузов, </w:t>
      </w:r>
    </w:p>
    <w:p w:rsidR="00C81F43" w:rsidRPr="00962A4F" w:rsidRDefault="00C81F43" w:rsidP="00C81F4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962A4F">
        <w:rPr>
          <w:rFonts w:ascii="Times New Roman" w:hAnsi="Times New Roman"/>
          <w:sz w:val="28"/>
          <w:szCs w:val="24"/>
          <w:lang w:eastAsia="ru-RU"/>
        </w:rPr>
        <w:t xml:space="preserve">при движении по автомобильным дорогам общего </w:t>
      </w:r>
    </w:p>
    <w:p w:rsidR="00962A4F" w:rsidRPr="00962A4F" w:rsidRDefault="00C81F43" w:rsidP="00962A4F">
      <w:pPr>
        <w:spacing w:after="0" w:line="240" w:lineRule="auto"/>
        <w:rPr>
          <w:rStyle w:val="ab"/>
          <w:rFonts w:ascii="Times New Roman" w:hAnsi="Times New Roman"/>
          <w:b w:val="0"/>
          <w:sz w:val="28"/>
          <w:szCs w:val="28"/>
        </w:rPr>
      </w:pPr>
      <w:r w:rsidRPr="00962A4F">
        <w:rPr>
          <w:rFonts w:ascii="Times New Roman" w:hAnsi="Times New Roman"/>
          <w:sz w:val="28"/>
          <w:szCs w:val="24"/>
          <w:lang w:eastAsia="ru-RU"/>
        </w:rPr>
        <w:t>пользования местного значения</w:t>
      </w:r>
      <w:r w:rsidRPr="00962A4F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</w:p>
    <w:p w:rsidR="00C81F43" w:rsidRPr="00962A4F" w:rsidRDefault="00C81F43" w:rsidP="00C81F43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962A4F">
        <w:rPr>
          <w:rStyle w:val="ab"/>
          <w:rFonts w:ascii="Times New Roman" w:hAnsi="Times New Roman"/>
          <w:b w:val="0"/>
          <w:sz w:val="28"/>
          <w:szCs w:val="28"/>
        </w:rPr>
        <w:t>Пластовского муниципального района</w:t>
      </w:r>
    </w:p>
    <w:p w:rsidR="00C81F43" w:rsidRDefault="00C81F43" w:rsidP="00C81F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81F43" w:rsidRPr="00AD5C3B" w:rsidRDefault="00C81F43" w:rsidP="00C8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924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</w:t>
      </w:r>
      <w:proofErr w:type="gramStart"/>
      <w:r w:rsidRPr="00904924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proofErr w:type="gramEnd"/>
      <w:r w:rsidRPr="009049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04924">
        <w:rPr>
          <w:rFonts w:ascii="Times New Roman" w:hAnsi="Times New Roman"/>
          <w:sz w:val="28"/>
          <w:szCs w:val="28"/>
          <w:shd w:val="clear" w:color="auto" w:fill="FFFFFF"/>
        </w:rPr>
        <w:t>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904924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», </w:t>
      </w:r>
      <w:r w:rsidRPr="00904924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</w:t>
      </w:r>
      <w:r w:rsidR="00962A4F" w:rsidRPr="00962A4F">
        <w:rPr>
          <w:rFonts w:ascii="Times New Roman" w:hAnsi="Times New Roman"/>
          <w:color w:val="000000"/>
          <w:sz w:val="28"/>
          <w:shd w:val="clear" w:color="auto" w:fill="FFFFFF"/>
        </w:rPr>
        <w:t>Правилами возмещения вреда, причиняемого тяжеловесными транспортными средствами, утвержденными постановлением Прави</w:t>
      </w:r>
      <w:r w:rsidR="00962A4F">
        <w:rPr>
          <w:rFonts w:ascii="Times New Roman" w:hAnsi="Times New Roman"/>
          <w:color w:val="000000"/>
          <w:sz w:val="28"/>
          <w:shd w:val="clear" w:color="auto" w:fill="FFFFFF"/>
        </w:rPr>
        <w:t xml:space="preserve">тельства Российской Федерации от 31.01.2020 </w:t>
      </w:r>
      <w:r w:rsidR="00962A4F" w:rsidRPr="00962A4F">
        <w:rPr>
          <w:rFonts w:ascii="Times New Roman" w:hAnsi="Times New Roman"/>
          <w:color w:val="000000"/>
          <w:sz w:val="28"/>
          <w:shd w:val="clear" w:color="auto" w:fill="FFFFFF"/>
        </w:rPr>
        <w:t>г.</w:t>
      </w:r>
      <w:r w:rsidR="00962A4F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962A4F" w:rsidRPr="00962A4F">
        <w:rPr>
          <w:rFonts w:ascii="Times New Roman" w:hAnsi="Times New Roman"/>
          <w:color w:val="000000"/>
          <w:sz w:val="28"/>
          <w:shd w:val="clear" w:color="auto" w:fill="FFFFFF"/>
        </w:rPr>
        <w:t>№67,</w:t>
      </w:r>
      <w:r w:rsidRPr="00962A4F">
        <w:rPr>
          <w:rFonts w:ascii="Times New Roman" w:hAnsi="Times New Roman"/>
          <w:color w:val="3C3C3C"/>
          <w:sz w:val="36"/>
          <w:szCs w:val="28"/>
          <w:shd w:val="clear" w:color="auto" w:fill="FFFFFF"/>
        </w:rPr>
        <w:t xml:space="preserve"> </w:t>
      </w:r>
      <w:r w:rsidRPr="00AD5C3B">
        <w:rPr>
          <w:rFonts w:ascii="Times New Roman" w:hAnsi="Times New Roman"/>
          <w:sz w:val="28"/>
          <w:szCs w:val="28"/>
        </w:rPr>
        <w:t xml:space="preserve">Уставом Пластовского муниципального района,  </w:t>
      </w:r>
      <w:r w:rsidR="00962A4F">
        <w:rPr>
          <w:rFonts w:ascii="Times New Roman" w:hAnsi="Times New Roman"/>
          <w:sz w:val="28"/>
        </w:rPr>
        <w:t xml:space="preserve">администрация </w:t>
      </w:r>
      <w:r w:rsidRPr="00AD5C3B">
        <w:rPr>
          <w:rFonts w:ascii="Times New Roman" w:hAnsi="Times New Roman"/>
          <w:sz w:val="28"/>
        </w:rPr>
        <w:t xml:space="preserve">Пластовского </w:t>
      </w:r>
      <w:r w:rsidR="00962A4F">
        <w:rPr>
          <w:rFonts w:ascii="Times New Roman" w:hAnsi="Times New Roman"/>
          <w:sz w:val="28"/>
        </w:rPr>
        <w:t>муниципального района</w:t>
      </w:r>
      <w:r w:rsidRPr="00AD5C3B">
        <w:rPr>
          <w:rFonts w:ascii="Times New Roman" w:hAnsi="Times New Roman"/>
          <w:sz w:val="28"/>
        </w:rPr>
        <w:t xml:space="preserve"> </w:t>
      </w:r>
      <w:proofErr w:type="gramEnd"/>
    </w:p>
    <w:p w:rsidR="00C81F43" w:rsidRPr="00202AE0" w:rsidRDefault="00962A4F" w:rsidP="00C81F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ПОСТАНОВЛЕТ</w:t>
      </w:r>
      <w:r w:rsidR="00C81F43" w:rsidRPr="00202AE0">
        <w:rPr>
          <w:rFonts w:ascii="Times New Roman" w:hAnsi="Times New Roman"/>
          <w:color w:val="000000"/>
          <w:sz w:val="28"/>
          <w:szCs w:val="28"/>
        </w:rPr>
        <w:t>:</w:t>
      </w:r>
    </w:p>
    <w:p w:rsidR="00962A4F" w:rsidRDefault="00C81F43" w:rsidP="00962A4F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2AE0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50AC8">
        <w:rPr>
          <w:rFonts w:ascii="Times New Roman" w:hAnsi="Times New Roman"/>
          <w:sz w:val="28"/>
        </w:rPr>
        <w:t xml:space="preserve">исходное значение размера вреда при превышении допустимых нагрузок на ось транспортного средства и постоянные коэффициенты, используемые при расчете </w:t>
      </w:r>
      <w:r w:rsidRPr="00C81F43">
        <w:rPr>
          <w:rFonts w:ascii="Times New Roman" w:hAnsi="Times New Roman"/>
          <w:sz w:val="28"/>
          <w:szCs w:val="28"/>
          <w:lang w:eastAsia="ru-RU"/>
        </w:rPr>
        <w:t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="0096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A4F" w:rsidRPr="00962A4F">
        <w:rPr>
          <w:rStyle w:val="ab"/>
          <w:rFonts w:ascii="Times New Roman" w:hAnsi="Times New Roman"/>
          <w:b w:val="0"/>
          <w:sz w:val="28"/>
          <w:szCs w:val="28"/>
        </w:rPr>
        <w:t>Пластовского муниципального района</w:t>
      </w:r>
      <w:r w:rsidRPr="00C81F43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C81F43">
        <w:rPr>
          <w:rStyle w:val="ab"/>
          <w:rFonts w:ascii="Times New Roman" w:hAnsi="Times New Roman"/>
          <w:b w:val="0"/>
          <w:sz w:val="28"/>
          <w:szCs w:val="28"/>
        </w:rPr>
        <w:t>(Приложение 1)</w:t>
      </w:r>
      <w:r w:rsidR="00962A4F">
        <w:rPr>
          <w:rStyle w:val="ab"/>
          <w:rFonts w:ascii="Times New Roman" w:hAnsi="Times New Roman"/>
          <w:b w:val="0"/>
          <w:sz w:val="28"/>
          <w:szCs w:val="28"/>
        </w:rPr>
        <w:t>.</w:t>
      </w:r>
    </w:p>
    <w:p w:rsidR="005403E9" w:rsidRPr="005403E9" w:rsidRDefault="00850AC8" w:rsidP="005403E9">
      <w:pPr>
        <w:spacing w:after="0" w:line="240" w:lineRule="auto"/>
        <w:ind w:firstLine="708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 xml:space="preserve">2. Утвердить </w:t>
      </w:r>
      <w:r>
        <w:rPr>
          <w:rFonts w:ascii="Times New Roman" w:eastAsia="Times New Roman" w:hAnsi="Times New Roman"/>
          <w:sz w:val="28"/>
          <w:szCs w:val="24"/>
        </w:rPr>
        <w:t>размер</w:t>
      </w:r>
      <w:r w:rsidR="00AC6801" w:rsidRPr="00AC6801">
        <w:rPr>
          <w:rFonts w:ascii="Times New Roman" w:eastAsia="Times New Roman" w:hAnsi="Times New Roman"/>
          <w:sz w:val="28"/>
          <w:szCs w:val="24"/>
        </w:rPr>
        <w:t xml:space="preserve"> вреда, причиняемого тяжеловесными транспортными средствами</w:t>
      </w:r>
      <w:r w:rsidR="00962A4F">
        <w:rPr>
          <w:rFonts w:ascii="Times New Roman" w:eastAsia="Times New Roman" w:hAnsi="Times New Roman"/>
          <w:sz w:val="28"/>
          <w:szCs w:val="24"/>
        </w:rPr>
        <w:t>,</w:t>
      </w:r>
      <w:r w:rsidR="00AC6801">
        <w:rPr>
          <w:rFonts w:ascii="Times New Roman" w:eastAsia="Times New Roman" w:hAnsi="Times New Roman"/>
          <w:sz w:val="28"/>
          <w:szCs w:val="24"/>
        </w:rPr>
        <w:t xml:space="preserve"> </w:t>
      </w:r>
      <w:r w:rsidR="00962A4F" w:rsidRPr="00C81F43">
        <w:rPr>
          <w:rFonts w:ascii="Times New Roman" w:hAnsi="Times New Roman"/>
          <w:sz w:val="28"/>
          <w:szCs w:val="28"/>
          <w:lang w:eastAsia="ru-RU"/>
        </w:rPr>
        <w:t>осуществляющими перевозки тяжеловесных грузов,</w:t>
      </w:r>
      <w:r w:rsidR="0096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A4F" w:rsidRPr="00C81F43">
        <w:rPr>
          <w:rFonts w:ascii="Times New Roman" w:hAnsi="Times New Roman"/>
          <w:sz w:val="28"/>
          <w:szCs w:val="28"/>
          <w:lang w:eastAsia="ru-RU"/>
        </w:rPr>
        <w:t>при движении по автомобильным дорогам общего пользования местного значения</w:t>
      </w:r>
      <w:r w:rsidR="0096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A4F" w:rsidRPr="00962A4F">
        <w:rPr>
          <w:rStyle w:val="ab"/>
          <w:rFonts w:ascii="Times New Roman" w:hAnsi="Times New Roman"/>
          <w:b w:val="0"/>
          <w:sz w:val="28"/>
          <w:szCs w:val="28"/>
        </w:rPr>
        <w:t>Пластовского муниципального района</w:t>
      </w:r>
      <w:r w:rsidR="00962A4F" w:rsidRPr="00C81F43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AC6801">
        <w:rPr>
          <w:rFonts w:ascii="Times New Roman" w:eastAsia="Times New Roman" w:hAnsi="Times New Roman"/>
          <w:sz w:val="28"/>
          <w:szCs w:val="24"/>
        </w:rPr>
        <w:t>(Приложение 2)</w:t>
      </w:r>
      <w:r w:rsidR="00C81F43" w:rsidRPr="00C81F43">
        <w:rPr>
          <w:rStyle w:val="ab"/>
          <w:rFonts w:ascii="Times New Roman" w:hAnsi="Times New Roman"/>
          <w:b w:val="0"/>
          <w:sz w:val="28"/>
          <w:szCs w:val="28"/>
        </w:rPr>
        <w:t>.</w:t>
      </w:r>
    </w:p>
    <w:p w:rsidR="00C81F43" w:rsidRPr="003E341C" w:rsidRDefault="00962A4F" w:rsidP="00C81F43">
      <w:pPr>
        <w:spacing w:after="0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1F43">
        <w:rPr>
          <w:rFonts w:ascii="Times New Roman" w:hAnsi="Times New Roman"/>
          <w:sz w:val="28"/>
          <w:szCs w:val="28"/>
        </w:rPr>
        <w:t>.</w:t>
      </w:r>
      <w:r w:rsidR="00C81F43" w:rsidRPr="00514FC5">
        <w:rPr>
          <w:rFonts w:ascii="Times New Roman" w:hAnsi="Times New Roman"/>
          <w:sz w:val="28"/>
          <w:szCs w:val="28"/>
        </w:rPr>
        <w:t xml:space="preserve"> </w:t>
      </w:r>
      <w:r w:rsidR="00C81F43" w:rsidRPr="003E341C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</w:t>
      </w:r>
      <w:r w:rsidR="00C81F43">
        <w:rPr>
          <w:rFonts w:ascii="Times New Roman" w:hAnsi="Times New Roman"/>
          <w:sz w:val="28"/>
          <w:szCs w:val="28"/>
        </w:rPr>
        <w:t xml:space="preserve"> ад</w:t>
      </w:r>
      <w:r w:rsidR="00C81F43" w:rsidRPr="003E341C">
        <w:rPr>
          <w:rFonts w:ascii="Times New Roman" w:hAnsi="Times New Roman"/>
          <w:sz w:val="28"/>
          <w:szCs w:val="28"/>
        </w:rPr>
        <w:t>министрации Пластовского муниципального района в сети Интернет.</w:t>
      </w:r>
    </w:p>
    <w:p w:rsidR="00962A4F" w:rsidRDefault="00C81F43" w:rsidP="00850AC8">
      <w:pPr>
        <w:pStyle w:val="ac"/>
        <w:tabs>
          <w:tab w:val="left" w:pos="567"/>
          <w:tab w:val="left" w:pos="709"/>
        </w:tabs>
        <w:ind w:left="0" w:right="225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62A4F">
        <w:rPr>
          <w:sz w:val="28"/>
          <w:szCs w:val="28"/>
        </w:rPr>
        <w:t>4</w:t>
      </w:r>
      <w:r w:rsidRPr="003E341C">
        <w:rPr>
          <w:sz w:val="28"/>
          <w:szCs w:val="28"/>
        </w:rPr>
        <w:t>.</w:t>
      </w:r>
      <w:r w:rsidRPr="003E341C">
        <w:rPr>
          <w:sz w:val="28"/>
        </w:rPr>
        <w:t xml:space="preserve"> </w:t>
      </w:r>
      <w:r>
        <w:rPr>
          <w:sz w:val="28"/>
        </w:rPr>
        <w:t xml:space="preserve"> </w:t>
      </w:r>
      <w:r w:rsidRPr="003E341C">
        <w:rPr>
          <w:sz w:val="28"/>
        </w:rPr>
        <w:t xml:space="preserve">Организацию   выполнения   настоящего постановления </w:t>
      </w:r>
      <w:r w:rsidRPr="003E341C">
        <w:rPr>
          <w:sz w:val="28"/>
          <w:szCs w:val="28"/>
        </w:rPr>
        <w:t xml:space="preserve">возложить на первого заместителя главы Пластовского муниципального района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Сырцева</w:t>
      </w:r>
      <w:proofErr w:type="spellEnd"/>
      <w:r>
        <w:rPr>
          <w:sz w:val="28"/>
          <w:szCs w:val="28"/>
        </w:rPr>
        <w:t xml:space="preserve"> В.В. </w:t>
      </w:r>
    </w:p>
    <w:p w:rsidR="00850AC8" w:rsidRPr="003E341C" w:rsidRDefault="00850AC8" w:rsidP="00850AC8">
      <w:pPr>
        <w:pStyle w:val="ac"/>
        <w:tabs>
          <w:tab w:val="left" w:pos="567"/>
          <w:tab w:val="left" w:pos="709"/>
        </w:tabs>
        <w:ind w:left="0" w:right="225" w:hanging="709"/>
        <w:jc w:val="both"/>
        <w:rPr>
          <w:sz w:val="28"/>
          <w:szCs w:val="28"/>
        </w:rPr>
      </w:pPr>
    </w:p>
    <w:p w:rsidR="00850AC8" w:rsidRPr="00B80425" w:rsidRDefault="00C81F43" w:rsidP="00B80425">
      <w:pPr>
        <w:pStyle w:val="a3"/>
        <w:rPr>
          <w:rFonts w:ascii="Times New Roman" w:hAnsi="Times New Roman"/>
          <w:sz w:val="28"/>
          <w:szCs w:val="28"/>
        </w:rPr>
      </w:pPr>
      <w:r w:rsidRPr="003E341C">
        <w:rPr>
          <w:rFonts w:ascii="Times New Roman" w:hAnsi="Times New Roman"/>
          <w:sz w:val="28"/>
          <w:szCs w:val="28"/>
        </w:rPr>
        <w:t xml:space="preserve"> Глава Пластовского  муниципального района               </w:t>
      </w:r>
      <w:r w:rsidR="00850AC8">
        <w:rPr>
          <w:rFonts w:ascii="Times New Roman" w:hAnsi="Times New Roman"/>
          <w:sz w:val="28"/>
          <w:szCs w:val="28"/>
        </w:rPr>
        <w:t xml:space="preserve">         </w:t>
      </w:r>
      <w:r w:rsidRPr="003E341C">
        <w:rPr>
          <w:rFonts w:ascii="Times New Roman" w:hAnsi="Times New Roman"/>
          <w:sz w:val="28"/>
          <w:szCs w:val="28"/>
        </w:rPr>
        <w:t xml:space="preserve">       А.</w:t>
      </w:r>
      <w:r w:rsidR="00962A4F">
        <w:rPr>
          <w:rFonts w:ascii="Times New Roman" w:hAnsi="Times New Roman"/>
          <w:sz w:val="28"/>
          <w:szCs w:val="28"/>
        </w:rPr>
        <w:t>Н. Пестряков</w:t>
      </w:r>
    </w:p>
    <w:p w:rsidR="00321C42" w:rsidRPr="00B80425" w:rsidRDefault="00321C42" w:rsidP="0032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0425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321C42" w:rsidRPr="00B80425" w:rsidRDefault="00321C42" w:rsidP="0032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042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21C42" w:rsidRPr="00B80425" w:rsidRDefault="00321C42" w:rsidP="0032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0425">
        <w:rPr>
          <w:rFonts w:ascii="Times New Roman" w:hAnsi="Times New Roman"/>
          <w:sz w:val="28"/>
          <w:szCs w:val="28"/>
        </w:rPr>
        <w:t xml:space="preserve">Пластовского муниципального района </w:t>
      </w:r>
    </w:p>
    <w:p w:rsidR="00321C42" w:rsidRPr="00B80425" w:rsidRDefault="00B80425" w:rsidP="0032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«_24_»_01__</w:t>
      </w:r>
      <w:r w:rsidR="00321C42" w:rsidRPr="00B80425">
        <w:rPr>
          <w:rFonts w:ascii="Times New Roman" w:hAnsi="Times New Roman"/>
          <w:sz w:val="28"/>
          <w:szCs w:val="28"/>
        </w:rPr>
        <w:t xml:space="preserve"> 202</w:t>
      </w:r>
      <w:r w:rsidR="00FC130E" w:rsidRPr="00B80425">
        <w:rPr>
          <w:rFonts w:ascii="Times New Roman" w:hAnsi="Times New Roman"/>
          <w:sz w:val="28"/>
          <w:szCs w:val="28"/>
        </w:rPr>
        <w:t>2</w:t>
      </w:r>
      <w:r w:rsidR="00321C42" w:rsidRPr="00B8042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38</w:t>
      </w:r>
    </w:p>
    <w:p w:rsidR="00850AC8" w:rsidRPr="00B80425" w:rsidRDefault="00850AC8" w:rsidP="00850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dst100044"/>
      <w:bookmarkEnd w:id="0"/>
    </w:p>
    <w:p w:rsidR="00850AC8" w:rsidRPr="00B80425" w:rsidRDefault="00850AC8" w:rsidP="00850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AC8" w:rsidRPr="00B80425" w:rsidRDefault="00850AC8" w:rsidP="00850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425">
        <w:rPr>
          <w:rFonts w:ascii="Times New Roman" w:hAnsi="Times New Roman"/>
          <w:sz w:val="28"/>
          <w:szCs w:val="28"/>
        </w:rPr>
        <w:t xml:space="preserve">Исходное значение размера вреда при превышении допустимых нагрузок на ось транспортного средства и постоянные коэффициенты, используемые при расчете </w:t>
      </w:r>
      <w:r w:rsidRPr="00B80425">
        <w:rPr>
          <w:rFonts w:ascii="Times New Roman" w:hAnsi="Times New Roman"/>
          <w:sz w:val="28"/>
          <w:szCs w:val="28"/>
          <w:lang w:eastAsia="ru-RU"/>
        </w:rPr>
        <w:t xml:space="preserve"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</w:p>
    <w:p w:rsidR="00850AC8" w:rsidRPr="00B80425" w:rsidRDefault="00850AC8" w:rsidP="00850AC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8"/>
          <w:szCs w:val="28"/>
        </w:rPr>
      </w:pPr>
      <w:r w:rsidRPr="00B80425">
        <w:rPr>
          <w:rStyle w:val="ab"/>
          <w:rFonts w:ascii="Times New Roman" w:hAnsi="Times New Roman"/>
          <w:b w:val="0"/>
          <w:sz w:val="28"/>
          <w:szCs w:val="28"/>
        </w:rPr>
        <w:t>Пластовского муниципального района</w:t>
      </w:r>
    </w:p>
    <w:p w:rsidR="00850AC8" w:rsidRPr="00B80425" w:rsidRDefault="00850AC8" w:rsidP="00850AC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2091"/>
      </w:tblGrid>
      <w:tr w:rsidR="000156CA" w:rsidRPr="00B80425" w:rsidTr="000156CA">
        <w:trPr>
          <w:trHeight w:val="649"/>
        </w:trPr>
        <w:tc>
          <w:tcPr>
            <w:tcW w:w="3510" w:type="dxa"/>
            <w:vMerge w:val="restart"/>
          </w:tcPr>
          <w:p w:rsidR="000156CA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127" w:type="dxa"/>
            <w:vMerge w:val="restart"/>
          </w:tcPr>
          <w:p w:rsidR="000156CA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B80425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80425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исх</w:t>
            </w:r>
            <w:proofErr w:type="gramStart"/>
            <w:r w:rsidRPr="00B80425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.о</w:t>
            </w:r>
            <w:proofErr w:type="gramEnd"/>
            <w:r w:rsidRPr="00B80425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сь</w:t>
            </w:r>
            <w:proofErr w:type="spellEnd"/>
            <w:r w:rsidRPr="00B80425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,</w:t>
            </w:r>
          </w:p>
          <w:p w:rsidR="000156CA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0425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руб./100 км</w:t>
            </w:r>
            <w:r w:rsidRPr="00B8042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17" w:type="dxa"/>
            <w:gridSpan w:val="2"/>
          </w:tcPr>
          <w:p w:rsidR="000156CA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156CA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Постоянные коэффициенты</w:t>
            </w:r>
          </w:p>
        </w:tc>
      </w:tr>
      <w:tr w:rsidR="00850AC8" w:rsidRPr="00B80425" w:rsidTr="000156CA">
        <w:tc>
          <w:tcPr>
            <w:tcW w:w="3510" w:type="dxa"/>
            <w:vMerge/>
          </w:tcPr>
          <w:p w:rsidR="00850AC8" w:rsidRPr="00B80425" w:rsidRDefault="00850AC8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50AC8" w:rsidRPr="00B80425" w:rsidRDefault="00850AC8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AC8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091" w:type="dxa"/>
          </w:tcPr>
          <w:p w:rsidR="00850AC8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50AC8" w:rsidRPr="00B80425" w:rsidTr="000156CA">
        <w:tc>
          <w:tcPr>
            <w:tcW w:w="3510" w:type="dxa"/>
          </w:tcPr>
          <w:p w:rsidR="00850AC8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</w:tcPr>
          <w:p w:rsidR="00850AC8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</w:rPr>
              <w:t>1840</w:t>
            </w:r>
          </w:p>
        </w:tc>
        <w:tc>
          <w:tcPr>
            <w:tcW w:w="2126" w:type="dxa"/>
          </w:tcPr>
          <w:p w:rsidR="00850AC8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</w:rPr>
              <w:t>37,7</w:t>
            </w:r>
          </w:p>
        </w:tc>
        <w:tc>
          <w:tcPr>
            <w:tcW w:w="2091" w:type="dxa"/>
          </w:tcPr>
          <w:p w:rsidR="00850AC8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</w:rPr>
              <w:t>2,4</w:t>
            </w:r>
          </w:p>
        </w:tc>
      </w:tr>
      <w:tr w:rsidR="00850AC8" w:rsidRPr="00B80425" w:rsidTr="000156CA">
        <w:tc>
          <w:tcPr>
            <w:tcW w:w="3510" w:type="dxa"/>
          </w:tcPr>
          <w:p w:rsidR="00850AC8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11</w:t>
            </w: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2127" w:type="dxa"/>
          </w:tcPr>
          <w:p w:rsidR="00850AC8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</w:rPr>
              <w:t>840</w:t>
            </w:r>
          </w:p>
        </w:tc>
        <w:tc>
          <w:tcPr>
            <w:tcW w:w="2126" w:type="dxa"/>
          </w:tcPr>
          <w:p w:rsidR="00850AC8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</w:rPr>
              <w:t>39,5</w:t>
            </w:r>
          </w:p>
        </w:tc>
        <w:tc>
          <w:tcPr>
            <w:tcW w:w="2091" w:type="dxa"/>
          </w:tcPr>
          <w:p w:rsidR="00850AC8" w:rsidRPr="00B80425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0425">
              <w:rPr>
                <w:rFonts w:ascii="Times New Roman" w:eastAsia="Times New Roman" w:hAnsi="Times New Roman"/>
                <w:bCs/>
                <w:sz w:val="28"/>
                <w:szCs w:val="28"/>
              </w:rPr>
              <w:t>2,7</w:t>
            </w:r>
          </w:p>
        </w:tc>
      </w:tr>
    </w:tbl>
    <w:p w:rsidR="00850AC8" w:rsidRPr="00B80425" w:rsidRDefault="00850AC8" w:rsidP="00850AC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50AC8" w:rsidRPr="00B80425" w:rsidRDefault="000156CA" w:rsidP="000156C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B80425">
        <w:rPr>
          <w:rFonts w:ascii="Times New Roman" w:eastAsia="Times New Roman" w:hAnsi="Times New Roman"/>
          <w:bCs/>
          <w:sz w:val="28"/>
          <w:szCs w:val="28"/>
        </w:rPr>
        <w:t>где:</w:t>
      </w:r>
    </w:p>
    <w:p w:rsidR="00850AC8" w:rsidRPr="00B80425" w:rsidRDefault="000156CA" w:rsidP="000156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0425">
        <w:rPr>
          <w:rFonts w:ascii="Times New Roman" w:eastAsia="Times New Roman" w:hAnsi="Times New Roman"/>
          <w:sz w:val="28"/>
          <w:szCs w:val="28"/>
        </w:rPr>
        <w:t>Р</w:t>
      </w:r>
      <w:r w:rsidRPr="00B80425">
        <w:rPr>
          <w:rFonts w:ascii="Times New Roman" w:eastAsia="Times New Roman" w:hAnsi="Times New Roman"/>
          <w:sz w:val="28"/>
          <w:szCs w:val="28"/>
          <w:vertAlign w:val="subscript"/>
        </w:rPr>
        <w:t>исх</w:t>
      </w:r>
      <w:proofErr w:type="gramStart"/>
      <w:r w:rsidRPr="00B80425">
        <w:rPr>
          <w:rFonts w:ascii="Times New Roman" w:eastAsia="Times New Roman" w:hAnsi="Times New Roman"/>
          <w:sz w:val="28"/>
          <w:szCs w:val="28"/>
          <w:vertAlign w:val="subscript"/>
        </w:rPr>
        <w:t>.п</w:t>
      </w:r>
      <w:proofErr w:type="gramEnd"/>
      <w:r w:rsidRPr="00B80425">
        <w:rPr>
          <w:rFonts w:ascii="Times New Roman" w:eastAsia="Times New Roman" w:hAnsi="Times New Roman"/>
          <w:sz w:val="28"/>
          <w:szCs w:val="28"/>
          <w:vertAlign w:val="subscript"/>
        </w:rPr>
        <w:t>м</w:t>
      </w:r>
      <w:proofErr w:type="spellEnd"/>
      <w:r w:rsidRPr="00B80425">
        <w:rPr>
          <w:rFonts w:ascii="Times New Roman" w:eastAsia="Times New Roman" w:hAnsi="Times New Roman"/>
          <w:sz w:val="28"/>
          <w:szCs w:val="28"/>
        </w:rPr>
        <w:t> - исходное значение размера вреда, причиняемого тяжеловесными транспортными средствами при превышении допустимых нагрузок на ось транспортного средства;</w:t>
      </w:r>
    </w:p>
    <w:p w:rsidR="000156CA" w:rsidRPr="00B80425" w:rsidRDefault="000156CA" w:rsidP="000156C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B80425">
        <w:rPr>
          <w:rFonts w:ascii="Times New Roman" w:eastAsia="Times New Roman" w:hAnsi="Times New Roman"/>
          <w:sz w:val="28"/>
          <w:szCs w:val="28"/>
        </w:rPr>
        <w:t>а,</w:t>
      </w:r>
      <w:r w:rsidRPr="00B804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80425">
        <w:rPr>
          <w:rFonts w:ascii="Times New Roman" w:eastAsia="Times New Roman" w:hAnsi="Times New Roman"/>
          <w:bCs/>
          <w:sz w:val="28"/>
          <w:szCs w:val="28"/>
          <w:lang w:val="en-US"/>
        </w:rPr>
        <w:t>b</w:t>
      </w:r>
      <w:r w:rsidRPr="00B80425">
        <w:rPr>
          <w:rFonts w:ascii="Times New Roman" w:eastAsia="Times New Roman" w:hAnsi="Times New Roman"/>
          <w:bCs/>
          <w:sz w:val="28"/>
          <w:szCs w:val="28"/>
        </w:rPr>
        <w:t xml:space="preserve"> – постоянные коэффициенты.</w:t>
      </w:r>
    </w:p>
    <w:p w:rsidR="00850AC8" w:rsidRPr="00B80425" w:rsidRDefault="00850AC8" w:rsidP="000156CA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</w:p>
    <w:p w:rsidR="00850AC8" w:rsidRPr="00B80425" w:rsidRDefault="00850AC8" w:rsidP="00850AC8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</w:p>
    <w:p w:rsidR="00C625B2" w:rsidRPr="00B80425" w:rsidRDefault="00C625B2" w:rsidP="00850AC8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  <w:r w:rsidRPr="00B80425"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AC6801" w:rsidRPr="00B80425" w:rsidRDefault="00AC6801" w:rsidP="00AC6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0425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AC6801" w:rsidRPr="00B80425" w:rsidRDefault="00AC6801" w:rsidP="00AC6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042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6801" w:rsidRPr="00B80425" w:rsidRDefault="00AC6801" w:rsidP="00AC6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0425">
        <w:rPr>
          <w:rFonts w:ascii="Times New Roman" w:hAnsi="Times New Roman"/>
          <w:sz w:val="28"/>
          <w:szCs w:val="28"/>
        </w:rPr>
        <w:t xml:space="preserve">Пластовского муниципального района </w:t>
      </w:r>
    </w:p>
    <w:p w:rsidR="00AC6801" w:rsidRPr="00B80425" w:rsidRDefault="00AC6801" w:rsidP="00AC6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0425">
        <w:rPr>
          <w:rFonts w:ascii="Times New Roman" w:hAnsi="Times New Roman"/>
          <w:sz w:val="28"/>
          <w:szCs w:val="28"/>
        </w:rPr>
        <w:t>от «_</w:t>
      </w:r>
      <w:r w:rsidR="00B80425">
        <w:rPr>
          <w:rFonts w:ascii="Times New Roman" w:hAnsi="Times New Roman"/>
          <w:sz w:val="28"/>
          <w:szCs w:val="28"/>
        </w:rPr>
        <w:t>24</w:t>
      </w:r>
      <w:r w:rsidRPr="00B80425">
        <w:rPr>
          <w:rFonts w:ascii="Times New Roman" w:hAnsi="Times New Roman"/>
          <w:sz w:val="28"/>
          <w:szCs w:val="28"/>
        </w:rPr>
        <w:t>_»_</w:t>
      </w:r>
      <w:r w:rsidR="00B80425">
        <w:rPr>
          <w:rFonts w:ascii="Times New Roman" w:hAnsi="Times New Roman"/>
          <w:sz w:val="28"/>
          <w:szCs w:val="28"/>
        </w:rPr>
        <w:t>01</w:t>
      </w:r>
      <w:r w:rsidRPr="00B80425">
        <w:rPr>
          <w:rFonts w:ascii="Times New Roman" w:hAnsi="Times New Roman"/>
          <w:sz w:val="28"/>
          <w:szCs w:val="28"/>
        </w:rPr>
        <w:t>__ 202</w:t>
      </w:r>
      <w:r w:rsidR="00FC130E" w:rsidRPr="00B80425">
        <w:rPr>
          <w:rFonts w:ascii="Times New Roman" w:hAnsi="Times New Roman"/>
          <w:sz w:val="28"/>
          <w:szCs w:val="28"/>
        </w:rPr>
        <w:t>2</w:t>
      </w:r>
      <w:r w:rsidRPr="00B80425">
        <w:rPr>
          <w:rFonts w:ascii="Times New Roman" w:hAnsi="Times New Roman"/>
          <w:sz w:val="28"/>
          <w:szCs w:val="28"/>
        </w:rPr>
        <w:t xml:space="preserve"> г. №</w:t>
      </w:r>
      <w:r w:rsidR="00B80425">
        <w:rPr>
          <w:rFonts w:ascii="Times New Roman" w:hAnsi="Times New Roman"/>
          <w:sz w:val="28"/>
          <w:szCs w:val="28"/>
        </w:rPr>
        <w:t>38</w:t>
      </w:r>
      <w:bookmarkStart w:id="1" w:name="_GoBack"/>
      <w:bookmarkEnd w:id="1"/>
    </w:p>
    <w:p w:rsidR="00312AA8" w:rsidRPr="00B80425" w:rsidRDefault="00312AA8" w:rsidP="00015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dst100073"/>
      <w:bookmarkEnd w:id="2"/>
    </w:p>
    <w:p w:rsidR="000156CA" w:rsidRPr="00B80425" w:rsidRDefault="000156CA" w:rsidP="00015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10EA7" w:rsidRPr="00B80425" w:rsidRDefault="00710EA7" w:rsidP="00710EA7">
      <w:pPr>
        <w:pStyle w:val="ad"/>
        <w:ind w:left="0"/>
        <w:jc w:val="right"/>
        <w:rPr>
          <w:sz w:val="28"/>
          <w:szCs w:val="28"/>
        </w:rPr>
      </w:pPr>
      <w:r w:rsidRPr="00B80425">
        <w:rPr>
          <w:sz w:val="28"/>
          <w:szCs w:val="28"/>
        </w:rPr>
        <w:t>Таблица 1</w:t>
      </w:r>
    </w:p>
    <w:p w:rsidR="00710EA7" w:rsidRPr="00B80425" w:rsidRDefault="00236831" w:rsidP="00217E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8042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710EA7" w:rsidRPr="00B80425">
        <w:rPr>
          <w:rFonts w:ascii="Times New Roman" w:hAnsi="Times New Roman"/>
          <w:sz w:val="28"/>
          <w:szCs w:val="28"/>
          <w:shd w:val="clear" w:color="auto" w:fill="FFFFFF"/>
        </w:rPr>
        <w:t>азмер</w:t>
      </w:r>
      <w:r w:rsidR="00710EA7" w:rsidRPr="00B80425">
        <w:rPr>
          <w:rFonts w:ascii="Times New Roman" w:hAnsi="Times New Roman"/>
          <w:sz w:val="28"/>
          <w:szCs w:val="28"/>
        </w:rPr>
        <w:br/>
      </w:r>
      <w:r w:rsidR="00710EA7" w:rsidRPr="00B80425">
        <w:rPr>
          <w:rFonts w:ascii="Times New Roman" w:hAnsi="Times New Roman"/>
          <w:sz w:val="28"/>
          <w:szCs w:val="28"/>
          <w:shd w:val="clear" w:color="auto" w:fill="FFFFFF"/>
        </w:rPr>
        <w:t xml:space="preserve">вреда, причиняемого тяжеловесными транспортными средствами, </w:t>
      </w:r>
      <w:r w:rsidR="00217ECD" w:rsidRPr="00B80425">
        <w:rPr>
          <w:rFonts w:ascii="Times New Roman" w:hAnsi="Times New Roman"/>
          <w:sz w:val="28"/>
          <w:szCs w:val="28"/>
          <w:lang w:eastAsia="ru-RU"/>
        </w:rPr>
        <w:t xml:space="preserve">осуществляющими перевозки тяжеловесных грузов, при движении по автомобильным дорогам общего пользования местного значения </w:t>
      </w:r>
      <w:r w:rsidR="00217ECD" w:rsidRPr="00B80425">
        <w:rPr>
          <w:rStyle w:val="ab"/>
          <w:rFonts w:ascii="Times New Roman" w:hAnsi="Times New Roman"/>
          <w:b w:val="0"/>
          <w:sz w:val="28"/>
          <w:szCs w:val="28"/>
        </w:rPr>
        <w:t>Пластовского муниципального района</w:t>
      </w:r>
      <w:r w:rsidR="00710EA7" w:rsidRPr="00B80425">
        <w:rPr>
          <w:rFonts w:ascii="Times New Roman" w:hAnsi="Times New Roman"/>
          <w:sz w:val="28"/>
          <w:szCs w:val="28"/>
          <w:shd w:val="clear" w:color="auto" w:fill="FFFFFF"/>
        </w:rPr>
        <w:t>, от превышения допустимой для автомобильной дороги массы транспортного средства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656"/>
      </w:tblGrid>
      <w:tr w:rsidR="00710EA7" w:rsidRPr="00B80425" w:rsidTr="00236831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фактической массы транспортного средства </w:t>
            </w:r>
            <w:proofErr w:type="gramStart"/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B80425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допустимой</w:t>
            </w:r>
          </w:p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3 339,00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3 394,00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3 448,00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3 502,00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3 556,00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3 610,00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3 664,00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3 718,00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3 772,00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3 827,00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3 881,00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3 935,00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3 989,00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4 043,00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4 097,00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4 151,00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4 205,00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4 260,00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4 314,00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4 368,00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4 422,00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4 476,00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4 530,00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4 584,00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4 638,00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4 693,00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4 747,00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4 801,00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4 855,00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4 909,00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32 (включительно) до 33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4 963,00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5 017,00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5 072,00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5 126,00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5 180,00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5 234,00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5 288,00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5 342,00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5 396,00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5 450,00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5 505,00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5 559,00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5 613,00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5 667,00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5 721,00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5 775,00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5 829,00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5 883,00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5 938,00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5 992,00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6 046,00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6 100,00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6 154,00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6 208,00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6 262,00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6 316,00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6 371,00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6 425,00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</w:t>
            </w:r>
            <w:hyperlink w:anchor="sub_333" w:history="1">
              <w:r w:rsidRPr="00B8042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710EA7" w:rsidRPr="00B80425" w:rsidRDefault="00710EA7" w:rsidP="0023683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80425">
        <w:rPr>
          <w:rFonts w:ascii="Times New Roman" w:hAnsi="Times New Roman"/>
          <w:sz w:val="28"/>
          <w:szCs w:val="28"/>
        </w:rPr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9" w:history="1">
        <w:r w:rsidRPr="00B80425">
          <w:rPr>
            <w:rStyle w:val="ae"/>
            <w:rFonts w:ascii="Times New Roman" w:eastAsiaTheme="minorEastAsia" w:hAnsi="Times New Roman"/>
            <w:sz w:val="28"/>
            <w:szCs w:val="28"/>
          </w:rPr>
          <w:t>приложением</w:t>
        </w:r>
      </w:hyperlink>
      <w:r w:rsidRPr="00B80425">
        <w:rPr>
          <w:rFonts w:ascii="Times New Roman" w:hAnsi="Times New Roman"/>
          <w:sz w:val="28"/>
          <w:szCs w:val="28"/>
        </w:rPr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 w:rsidRPr="00B80425">
          <w:rPr>
            <w:rStyle w:val="ae"/>
            <w:rFonts w:ascii="Times New Roman" w:eastAsiaTheme="minorEastAsia" w:hAnsi="Times New Roman"/>
            <w:sz w:val="28"/>
            <w:szCs w:val="28"/>
          </w:rPr>
          <w:t>постановлением</w:t>
        </w:r>
      </w:hyperlink>
      <w:r w:rsidRPr="00B80425">
        <w:rPr>
          <w:rFonts w:ascii="Times New Roman" w:hAnsi="Times New Roman"/>
          <w:sz w:val="28"/>
          <w:szCs w:val="28"/>
        </w:rPr>
        <w:t xml:space="preserve"> Правительства Российской Федерации от 31 января 2020 г. № 67 </w:t>
      </w:r>
      <w:r w:rsidRPr="00B8042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B80425">
        <w:rPr>
          <w:rFonts w:ascii="Times New Roman" w:hAnsi="Times New Roman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710EA7" w:rsidRPr="00B80425" w:rsidRDefault="00710EA7" w:rsidP="00710EA7">
      <w:pPr>
        <w:pStyle w:val="ad"/>
        <w:ind w:left="0"/>
        <w:jc w:val="right"/>
        <w:rPr>
          <w:sz w:val="28"/>
          <w:szCs w:val="28"/>
        </w:rPr>
      </w:pPr>
    </w:p>
    <w:p w:rsidR="00B80425" w:rsidRDefault="00B80425" w:rsidP="00710EA7">
      <w:pPr>
        <w:pStyle w:val="ad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0EA7" w:rsidRPr="00B80425" w:rsidRDefault="00710EA7" w:rsidP="00710EA7">
      <w:pPr>
        <w:pStyle w:val="ad"/>
        <w:ind w:left="0"/>
        <w:jc w:val="right"/>
        <w:rPr>
          <w:sz w:val="28"/>
          <w:szCs w:val="28"/>
        </w:rPr>
      </w:pPr>
      <w:r w:rsidRPr="00B80425">
        <w:rPr>
          <w:sz w:val="28"/>
          <w:szCs w:val="28"/>
        </w:rPr>
        <w:lastRenderedPageBreak/>
        <w:t>Таблица 2</w:t>
      </w:r>
    </w:p>
    <w:p w:rsidR="00710EA7" w:rsidRPr="00B80425" w:rsidRDefault="00710EA7" w:rsidP="00710EA7">
      <w:pPr>
        <w:pStyle w:val="ad"/>
        <w:ind w:left="0"/>
        <w:jc w:val="right"/>
        <w:rPr>
          <w:sz w:val="28"/>
          <w:szCs w:val="28"/>
        </w:rPr>
      </w:pPr>
    </w:p>
    <w:p w:rsidR="00710EA7" w:rsidRPr="00B80425" w:rsidRDefault="00710EA7" w:rsidP="00236831">
      <w:pPr>
        <w:jc w:val="center"/>
        <w:rPr>
          <w:rFonts w:ascii="Times New Roman" w:hAnsi="Times New Roman"/>
          <w:sz w:val="28"/>
          <w:szCs w:val="28"/>
        </w:rPr>
      </w:pPr>
      <w:r w:rsidRPr="00B80425">
        <w:rPr>
          <w:rFonts w:ascii="Times New Roman" w:hAnsi="Times New Roman"/>
          <w:sz w:val="28"/>
          <w:szCs w:val="28"/>
          <w:shd w:val="clear" w:color="auto" w:fill="FFFFFF"/>
        </w:rPr>
        <w:t>Размер</w:t>
      </w:r>
      <w:r w:rsidRPr="00B80425">
        <w:rPr>
          <w:rFonts w:ascii="Times New Roman" w:hAnsi="Times New Roman"/>
          <w:sz w:val="28"/>
          <w:szCs w:val="28"/>
        </w:rPr>
        <w:br/>
      </w:r>
      <w:r w:rsidRPr="00B80425">
        <w:rPr>
          <w:rFonts w:ascii="Times New Roman" w:hAnsi="Times New Roman"/>
          <w:sz w:val="28"/>
          <w:szCs w:val="28"/>
          <w:shd w:val="clear" w:color="auto" w:fill="FFFFFF"/>
        </w:rPr>
        <w:t xml:space="preserve">вреда, причиняемого тяжеловесными транспортными средствами, </w:t>
      </w:r>
      <w:r w:rsidR="00DE2DBC" w:rsidRPr="00B80425">
        <w:rPr>
          <w:rFonts w:ascii="Times New Roman" w:hAnsi="Times New Roman"/>
          <w:sz w:val="28"/>
          <w:szCs w:val="28"/>
          <w:lang w:eastAsia="ru-RU"/>
        </w:rPr>
        <w:t xml:space="preserve">осуществляющими перевозки тяжеловесных грузов, при движении по автомобильным дорогам общего пользования местного значения </w:t>
      </w:r>
      <w:r w:rsidR="00DE2DBC" w:rsidRPr="00B80425">
        <w:rPr>
          <w:rStyle w:val="ab"/>
          <w:rFonts w:ascii="Times New Roman" w:hAnsi="Times New Roman"/>
          <w:b w:val="0"/>
          <w:sz w:val="28"/>
          <w:szCs w:val="28"/>
        </w:rPr>
        <w:t>Пластовского муниципального района</w:t>
      </w:r>
      <w:r w:rsidRPr="00B80425">
        <w:rPr>
          <w:rFonts w:ascii="Times New Roman" w:hAnsi="Times New Roman"/>
          <w:sz w:val="28"/>
          <w:szCs w:val="28"/>
          <w:shd w:val="clear" w:color="auto" w:fill="FFFFFF"/>
        </w:rPr>
        <w:t>, рассчитанным под осевую нагрузку 10 т, от превышения допустимых нагрузок на каждую ось транспортного средства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656"/>
      </w:tblGrid>
      <w:tr w:rsidR="00710EA7" w:rsidRPr="00B80425" w:rsidTr="00236831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допустимыми</w:t>
            </w:r>
            <w:proofErr w:type="gramEnd"/>
          </w:p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1 410,00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1 431,00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1 459,00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1 494,00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1 536,00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1 585,00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1 642,00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1 705,00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1 775,00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1 851,00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1 935,00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2 025,00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2 121,00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2 224,00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2 334,00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2 450,00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2 573,00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2 702,00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2 837,00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2 979,00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3 127,00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3 282,00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3 443,00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3 610,00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3 783,00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3 963,00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4 149,00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4 341,00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4 539,00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4 743,00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4 954,00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5 171,00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5 394,00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5 623,00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36 (включительно) до 37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5 858,00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6 099,00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6 346,00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6 599,00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6 859,00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7 124,00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7 395,00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7 673,00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7 956,00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8 246,00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8 541,00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8 842,00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9 150,00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9 463,00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9 782,00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10 107,00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10 438,00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10 775,00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11 118,00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11 467,00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11 821,00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12 182,00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12 548,00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12 920,00</w:t>
            </w:r>
          </w:p>
        </w:tc>
      </w:tr>
      <w:tr w:rsidR="00710EA7" w:rsidRPr="00B80425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B80425" w:rsidRDefault="00710EA7" w:rsidP="00850A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</w:t>
            </w:r>
            <w:hyperlink w:anchor="sub_333" w:history="1">
              <w:r w:rsidRPr="00B8042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710EA7" w:rsidRPr="00B80425" w:rsidRDefault="00710EA7" w:rsidP="00710EA7">
      <w:pPr>
        <w:jc w:val="both"/>
        <w:rPr>
          <w:rFonts w:ascii="Times New Roman" w:hAnsi="Times New Roman"/>
          <w:sz w:val="28"/>
          <w:szCs w:val="28"/>
        </w:rPr>
      </w:pPr>
    </w:p>
    <w:p w:rsidR="00710EA7" w:rsidRPr="00B80425" w:rsidRDefault="00710EA7" w:rsidP="00710EA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80425">
        <w:rPr>
          <w:rFonts w:ascii="Times New Roman" w:hAnsi="Times New Roman"/>
          <w:sz w:val="28"/>
          <w:szCs w:val="28"/>
        </w:rPr>
        <w:t xml:space="preserve">&lt;*&gt; </w:t>
      </w:r>
      <w:r w:rsidRPr="00B80425">
        <w:rPr>
          <w:rFonts w:ascii="Times New Roman" w:hAnsi="Times New Roman"/>
          <w:sz w:val="28"/>
          <w:szCs w:val="28"/>
          <w:shd w:val="clear" w:color="auto" w:fill="FFFFFF"/>
        </w:rPr>
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</w:r>
      <w:hyperlink r:id="rId10" w:anchor="/document/73495159/entry/11000" w:history="1">
        <w:r w:rsidRPr="00B80425">
          <w:rPr>
            <w:rStyle w:val="a4"/>
            <w:rFonts w:ascii="Times New Roman" w:eastAsiaTheme="minorEastAsia" w:hAnsi="Times New Roman"/>
            <w:sz w:val="28"/>
            <w:szCs w:val="28"/>
            <w:shd w:val="clear" w:color="auto" w:fill="FFFFFF"/>
          </w:rPr>
          <w:t>приложением</w:t>
        </w:r>
      </w:hyperlink>
      <w:r w:rsidRPr="00B80425">
        <w:rPr>
          <w:rFonts w:ascii="Times New Roman" w:hAnsi="Times New Roman"/>
          <w:sz w:val="28"/>
          <w:szCs w:val="28"/>
          <w:shd w:val="clear" w:color="auto" w:fill="FFFFFF"/>
        </w:rPr>
        <w:t> к Правилам возмещения вреда, причиняемого тяжеловесными транспортными средствами, утвержденным </w:t>
      </w:r>
      <w:hyperlink r:id="rId11" w:anchor="/document/73495159/entry/0" w:history="1">
        <w:r w:rsidRPr="00B80425">
          <w:rPr>
            <w:rStyle w:val="a4"/>
            <w:rFonts w:ascii="Times New Roman" w:eastAsiaTheme="minorEastAsia" w:hAnsi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B80425">
        <w:rPr>
          <w:rFonts w:ascii="Times New Roman" w:hAnsi="Times New Roman"/>
          <w:sz w:val="28"/>
          <w:szCs w:val="28"/>
          <w:shd w:val="clear" w:color="auto" w:fill="FFFFFF"/>
        </w:rPr>
        <w:t> Правительства Российской Федерации от 31.01.2020 № 67 «</w:t>
      </w:r>
      <w:r w:rsidRPr="00B80425">
        <w:rPr>
          <w:rFonts w:ascii="Times New Roman" w:hAnsi="Times New Roman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710EA7" w:rsidRPr="00B80425" w:rsidRDefault="00710EA7" w:rsidP="00236831">
      <w:pPr>
        <w:pStyle w:val="ad"/>
        <w:ind w:left="0"/>
        <w:rPr>
          <w:sz w:val="28"/>
          <w:szCs w:val="28"/>
        </w:rPr>
      </w:pPr>
    </w:p>
    <w:p w:rsidR="00B80425" w:rsidRDefault="00B80425" w:rsidP="00710EA7">
      <w:pPr>
        <w:pStyle w:val="ad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0EA7" w:rsidRPr="00B80425" w:rsidRDefault="00710EA7" w:rsidP="00710EA7">
      <w:pPr>
        <w:pStyle w:val="ad"/>
        <w:ind w:left="0"/>
        <w:jc w:val="right"/>
        <w:rPr>
          <w:sz w:val="28"/>
          <w:szCs w:val="28"/>
        </w:rPr>
      </w:pPr>
      <w:r w:rsidRPr="00B80425">
        <w:rPr>
          <w:sz w:val="28"/>
          <w:szCs w:val="28"/>
        </w:rPr>
        <w:lastRenderedPageBreak/>
        <w:t>Таблица 3</w:t>
      </w:r>
    </w:p>
    <w:p w:rsidR="00710EA7" w:rsidRPr="00B80425" w:rsidRDefault="00710EA7" w:rsidP="00710EA7">
      <w:pPr>
        <w:pStyle w:val="ad"/>
        <w:ind w:left="0"/>
        <w:jc w:val="right"/>
        <w:rPr>
          <w:sz w:val="28"/>
          <w:szCs w:val="28"/>
        </w:rPr>
      </w:pPr>
    </w:p>
    <w:p w:rsidR="00710EA7" w:rsidRPr="00B80425" w:rsidRDefault="00710EA7" w:rsidP="00710EA7">
      <w:pPr>
        <w:pStyle w:val="ad"/>
        <w:ind w:left="0"/>
        <w:jc w:val="center"/>
        <w:rPr>
          <w:sz w:val="28"/>
          <w:szCs w:val="28"/>
        </w:rPr>
      </w:pPr>
      <w:r w:rsidRPr="00B80425">
        <w:rPr>
          <w:sz w:val="28"/>
          <w:szCs w:val="28"/>
          <w:shd w:val="clear" w:color="auto" w:fill="FFFFFF"/>
        </w:rPr>
        <w:t>Размер</w:t>
      </w:r>
      <w:r w:rsidRPr="00B80425">
        <w:rPr>
          <w:sz w:val="28"/>
          <w:szCs w:val="28"/>
        </w:rPr>
        <w:br/>
      </w:r>
      <w:r w:rsidRPr="00B80425">
        <w:rPr>
          <w:sz w:val="28"/>
          <w:szCs w:val="28"/>
          <w:shd w:val="clear" w:color="auto" w:fill="FFFFFF"/>
        </w:rPr>
        <w:t xml:space="preserve">вреда, причиняемого тяжеловесными транспортными средствами, </w:t>
      </w:r>
      <w:r w:rsidR="00DE2DBC" w:rsidRPr="00B80425">
        <w:rPr>
          <w:sz w:val="28"/>
          <w:szCs w:val="28"/>
        </w:rPr>
        <w:t xml:space="preserve">осуществляющими перевозки тяжеловесных грузов, при движении по автомобильным дорогам общего пользования местного значения </w:t>
      </w:r>
      <w:r w:rsidR="00DE2DBC" w:rsidRPr="00B80425">
        <w:rPr>
          <w:rStyle w:val="ab"/>
          <w:b w:val="0"/>
          <w:sz w:val="28"/>
          <w:szCs w:val="28"/>
        </w:rPr>
        <w:t>Пластовского муниципального района</w:t>
      </w:r>
      <w:r w:rsidRPr="00B80425">
        <w:rPr>
          <w:sz w:val="28"/>
          <w:szCs w:val="28"/>
          <w:shd w:val="clear" w:color="auto" w:fill="FFFFFF"/>
        </w:rPr>
        <w:t>, рассчитанным под осевую нагрузку 11,5 т, от превышения допустимых осевых нагрузок на ось транспортного средства</w:t>
      </w:r>
    </w:p>
    <w:p w:rsidR="00710EA7" w:rsidRPr="00B80425" w:rsidRDefault="00710EA7" w:rsidP="00236831">
      <w:pPr>
        <w:pStyle w:val="ad"/>
        <w:ind w:left="0"/>
        <w:rPr>
          <w:sz w:val="28"/>
          <w:szCs w:val="28"/>
        </w:rPr>
      </w:pPr>
    </w:p>
    <w:tbl>
      <w:tblPr>
        <w:tblW w:w="9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096"/>
        <w:gridCol w:w="3646"/>
      </w:tblGrid>
      <w:tr w:rsidR="00710EA7" w:rsidRPr="00B80425" w:rsidTr="00236831">
        <w:trPr>
          <w:trHeight w:val="816"/>
        </w:trPr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допустимыми</w:t>
            </w:r>
            <w:proofErr w:type="gramEnd"/>
            <w:r w:rsidRPr="00B80425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641,00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648,00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657,00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668,00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682,00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698,00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716,00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736,00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758,00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783,00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809,00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838,00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869,00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902,00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937,00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974,00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1 014,00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1 055,00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1 098,00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1 144,00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1 191,00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1 241,00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1 292,00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1 346,00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1 401,00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1 459,00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1 518,00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1 580,00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1 643,00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1 709,00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1 776,00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33 (включительно) до 34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1 846,00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1 917,00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1 990,00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2 066,00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2 143,00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2 222,00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2 303,00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2 386,00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2 471,00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2 558,00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2 647,00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2 738,00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2 830,00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2 925,00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3 021,00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3 120,00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3 220,00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3 322,00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3 426,00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3 532,00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3 640,00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3 750,00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3 862,00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3 975,00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4 091,00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4 208,00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4 327,00</w:t>
            </w:r>
          </w:p>
        </w:tc>
      </w:tr>
      <w:tr w:rsidR="00710EA7" w:rsidRPr="00B80425" w:rsidTr="00236831">
        <w:tc>
          <w:tcPr>
            <w:tcW w:w="6096" w:type="dxa"/>
            <w:hideMark/>
          </w:tcPr>
          <w:p w:rsidR="00710EA7" w:rsidRPr="00B80425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646" w:type="dxa"/>
            <w:hideMark/>
          </w:tcPr>
          <w:p w:rsidR="00710EA7" w:rsidRPr="00B80425" w:rsidRDefault="00710EA7" w:rsidP="00850AC8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5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</w:t>
            </w:r>
            <w:hyperlink w:anchor="sub_333" w:history="1">
              <w:r w:rsidRPr="00B8042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710EA7" w:rsidRPr="00B80425" w:rsidRDefault="00710EA7" w:rsidP="00710EA7">
      <w:pPr>
        <w:pStyle w:val="ad"/>
        <w:ind w:left="0"/>
        <w:jc w:val="center"/>
        <w:rPr>
          <w:sz w:val="28"/>
          <w:szCs w:val="28"/>
        </w:rPr>
      </w:pPr>
    </w:p>
    <w:p w:rsidR="00710EA7" w:rsidRPr="00B80425" w:rsidRDefault="00710EA7" w:rsidP="00710EA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80425">
        <w:rPr>
          <w:rFonts w:ascii="Times New Roman" w:hAnsi="Times New Roman"/>
          <w:sz w:val="28"/>
          <w:szCs w:val="28"/>
        </w:rPr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12" w:history="1">
        <w:r w:rsidRPr="00B80425">
          <w:rPr>
            <w:rStyle w:val="ae"/>
            <w:rFonts w:ascii="Times New Roman" w:hAnsi="Times New Roman"/>
            <w:sz w:val="28"/>
            <w:szCs w:val="28"/>
          </w:rPr>
          <w:t>приложением</w:t>
        </w:r>
      </w:hyperlink>
      <w:r w:rsidRPr="00B80425">
        <w:rPr>
          <w:rFonts w:ascii="Times New Roman" w:hAnsi="Times New Roman"/>
          <w:sz w:val="28"/>
          <w:szCs w:val="28"/>
        </w:rPr>
        <w:t xml:space="preserve"> к Правилам возмещения вреда, причиняемого тяжеловесными транспортными средствами, утвержденным </w:t>
      </w:r>
      <w:hyperlink r:id="rId13" w:anchor="sub_0" w:history="1">
        <w:r w:rsidRPr="00B80425">
          <w:rPr>
            <w:rStyle w:val="ae"/>
            <w:rFonts w:ascii="Times New Roman" w:hAnsi="Times New Roman"/>
            <w:sz w:val="28"/>
            <w:szCs w:val="28"/>
          </w:rPr>
          <w:t>постановлением</w:t>
        </w:r>
      </w:hyperlink>
      <w:r w:rsidRPr="00B80425">
        <w:rPr>
          <w:rFonts w:ascii="Times New Roman" w:hAnsi="Times New Roman"/>
          <w:sz w:val="28"/>
          <w:szCs w:val="28"/>
        </w:rPr>
        <w:t xml:space="preserve"> Правительства Российской Федерации от 31 января 2020 г. № 67 </w:t>
      </w:r>
      <w:r w:rsidRPr="00B8042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B80425">
        <w:rPr>
          <w:rFonts w:ascii="Times New Roman" w:hAnsi="Times New Roman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710EA7" w:rsidRPr="00B80425" w:rsidRDefault="00710EA7" w:rsidP="007F1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710EA7" w:rsidRPr="00B80425" w:rsidSect="00850AC8">
      <w:headerReference w:type="default" r:id="rId14"/>
      <w:headerReference w:type="first" r:id="rId15"/>
      <w:pgSz w:w="11906" w:h="16838"/>
      <w:pgMar w:top="851" w:right="709" w:bottom="42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E3" w:rsidRDefault="004654E3" w:rsidP="00FA78AA">
      <w:pPr>
        <w:spacing w:after="0" w:line="240" w:lineRule="auto"/>
      </w:pPr>
      <w:r>
        <w:separator/>
      </w:r>
    </w:p>
  </w:endnote>
  <w:endnote w:type="continuationSeparator" w:id="0">
    <w:p w:rsidR="004654E3" w:rsidRDefault="004654E3" w:rsidP="00FA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E3" w:rsidRDefault="004654E3" w:rsidP="00FA78AA">
      <w:pPr>
        <w:spacing w:after="0" w:line="240" w:lineRule="auto"/>
      </w:pPr>
      <w:r>
        <w:separator/>
      </w:r>
    </w:p>
  </w:footnote>
  <w:footnote w:type="continuationSeparator" w:id="0">
    <w:p w:rsidR="004654E3" w:rsidRDefault="004654E3" w:rsidP="00FA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82038"/>
      <w:docPartObj>
        <w:docPartGallery w:val="Page Numbers (Top of Page)"/>
        <w:docPartUnique/>
      </w:docPartObj>
    </w:sdtPr>
    <w:sdtEndPr/>
    <w:sdtContent>
      <w:p w:rsidR="00217ECD" w:rsidRDefault="00217E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25">
          <w:rPr>
            <w:noProof/>
          </w:rPr>
          <w:t>8</w:t>
        </w:r>
        <w:r>
          <w:fldChar w:fldCharType="end"/>
        </w:r>
      </w:p>
    </w:sdtContent>
  </w:sdt>
  <w:p w:rsidR="00217ECD" w:rsidRDefault="00217E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D" w:rsidRDefault="00217ECD">
    <w:pPr>
      <w:pStyle w:val="a7"/>
      <w:jc w:val="center"/>
    </w:pPr>
  </w:p>
  <w:p w:rsidR="00217ECD" w:rsidRPr="00C625B2" w:rsidRDefault="00217ECD" w:rsidP="00C625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A"/>
    <w:rsid w:val="000156CA"/>
    <w:rsid w:val="0004623C"/>
    <w:rsid w:val="00070920"/>
    <w:rsid w:val="001015A1"/>
    <w:rsid w:val="0011060F"/>
    <w:rsid w:val="0012194A"/>
    <w:rsid w:val="001A5BE6"/>
    <w:rsid w:val="001D79BB"/>
    <w:rsid w:val="00217ECD"/>
    <w:rsid w:val="00236831"/>
    <w:rsid w:val="00276B65"/>
    <w:rsid w:val="002C3504"/>
    <w:rsid w:val="002C3DE1"/>
    <w:rsid w:val="00312AA8"/>
    <w:rsid w:val="00321C42"/>
    <w:rsid w:val="003347CF"/>
    <w:rsid w:val="00355119"/>
    <w:rsid w:val="003D2A31"/>
    <w:rsid w:val="003F7D22"/>
    <w:rsid w:val="004654E3"/>
    <w:rsid w:val="00485F3C"/>
    <w:rsid w:val="004B6FBD"/>
    <w:rsid w:val="00507D84"/>
    <w:rsid w:val="005403E9"/>
    <w:rsid w:val="0054177B"/>
    <w:rsid w:val="00593E88"/>
    <w:rsid w:val="00604EA1"/>
    <w:rsid w:val="00710EA7"/>
    <w:rsid w:val="007552C3"/>
    <w:rsid w:val="00797018"/>
    <w:rsid w:val="007E32A0"/>
    <w:rsid w:val="007E5A55"/>
    <w:rsid w:val="007F1795"/>
    <w:rsid w:val="00850AC8"/>
    <w:rsid w:val="008824D7"/>
    <w:rsid w:val="008E4CCC"/>
    <w:rsid w:val="00944F4D"/>
    <w:rsid w:val="00962A4F"/>
    <w:rsid w:val="009C10E8"/>
    <w:rsid w:val="009C7AAB"/>
    <w:rsid w:val="00A07321"/>
    <w:rsid w:val="00A55275"/>
    <w:rsid w:val="00A80BA7"/>
    <w:rsid w:val="00AC6801"/>
    <w:rsid w:val="00B139A6"/>
    <w:rsid w:val="00B753A1"/>
    <w:rsid w:val="00B80425"/>
    <w:rsid w:val="00B81C4D"/>
    <w:rsid w:val="00BC125B"/>
    <w:rsid w:val="00C232BF"/>
    <w:rsid w:val="00C55C0A"/>
    <w:rsid w:val="00C625B2"/>
    <w:rsid w:val="00C81F43"/>
    <w:rsid w:val="00D26934"/>
    <w:rsid w:val="00DE2DBC"/>
    <w:rsid w:val="00E22D6C"/>
    <w:rsid w:val="00EA5E5D"/>
    <w:rsid w:val="00EC07E4"/>
    <w:rsid w:val="00F70052"/>
    <w:rsid w:val="00FA78AA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52"/>
    <w:pPr>
      <w:spacing w:after="160" w:line="259" w:lineRule="auto"/>
      <w:ind w:firstLine="0"/>
      <w:jc w:val="left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75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52"/>
    <w:pPr>
      <w:ind w:firstLine="0"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7552C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Hyperlink"/>
    <w:basedOn w:val="a0"/>
    <w:uiPriority w:val="99"/>
    <w:unhideWhenUsed/>
    <w:rsid w:val="00312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8AA"/>
    <w:rPr>
      <w:rFonts w:ascii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FA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8AA"/>
    <w:rPr>
      <w:rFonts w:ascii="Calibri" w:hAnsi="Calibri"/>
      <w:sz w:val="22"/>
    </w:rPr>
  </w:style>
  <w:style w:type="character" w:styleId="ab">
    <w:name w:val="Strong"/>
    <w:basedOn w:val="a0"/>
    <w:uiPriority w:val="22"/>
    <w:qFormat/>
    <w:rsid w:val="00C81F43"/>
    <w:rPr>
      <w:b/>
      <w:bCs/>
    </w:rPr>
  </w:style>
  <w:style w:type="paragraph" w:styleId="ac">
    <w:name w:val="List"/>
    <w:basedOn w:val="a"/>
    <w:uiPriority w:val="99"/>
    <w:unhideWhenUsed/>
    <w:rsid w:val="00C81F4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10E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10EA7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710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1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59"/>
    <w:rsid w:val="0085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52"/>
    <w:pPr>
      <w:spacing w:after="160" w:line="259" w:lineRule="auto"/>
      <w:ind w:firstLine="0"/>
      <w:jc w:val="left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75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52"/>
    <w:pPr>
      <w:ind w:firstLine="0"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7552C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Hyperlink"/>
    <w:basedOn w:val="a0"/>
    <w:uiPriority w:val="99"/>
    <w:unhideWhenUsed/>
    <w:rsid w:val="00312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8AA"/>
    <w:rPr>
      <w:rFonts w:ascii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FA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8AA"/>
    <w:rPr>
      <w:rFonts w:ascii="Calibri" w:hAnsi="Calibri"/>
      <w:sz w:val="22"/>
    </w:rPr>
  </w:style>
  <w:style w:type="character" w:styleId="ab">
    <w:name w:val="Strong"/>
    <w:basedOn w:val="a0"/>
    <w:uiPriority w:val="22"/>
    <w:qFormat/>
    <w:rsid w:val="00C81F43"/>
    <w:rPr>
      <w:b/>
      <w:bCs/>
    </w:rPr>
  </w:style>
  <w:style w:type="paragraph" w:styleId="ac">
    <w:name w:val="List"/>
    <w:basedOn w:val="a"/>
    <w:uiPriority w:val="99"/>
    <w:unhideWhenUsed/>
    <w:rsid w:val="00C81F4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10E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10EA7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710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1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59"/>
    <w:rsid w:val="0085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BurmakaEA\Downloads\&#1055;&#1086;&#1089;&#1090;&#1072;&#1085;&#1086;&#1074;&#1083;&#1077;&#1085;&#1080;&#1077;%20&#1055;&#1088;&#1072;&#1074;&#1080;&#1090;&#1077;&#1083;&#1100;&#1089;&#1090;&#1074;&#1072;%20&#1056;&#1060;%20&#1086;&#1090;%2031%20&#1103;&#1085;&#1074;&#1072;&#1088;&#1103;%202020%20&#1075;%20N%2067%20&#1054;&#1073;%20&#1091;&#1090;&#1074;&#1077;&#1088;&#1078;&#1076;&#1077;&#1085;&#1080;&#1080;%20&#1055;&#1088;&#1072;&#1074;&#1080;&#1083;%20&#1074;&#1086;%20(1)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3495159/1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3495159/1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C04C-154E-4FF1-8D76-E53977F4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</cp:lastModifiedBy>
  <cp:revision>2</cp:revision>
  <cp:lastPrinted>2022-01-24T09:13:00Z</cp:lastPrinted>
  <dcterms:created xsi:type="dcterms:W3CDTF">2022-01-24T09:15:00Z</dcterms:created>
  <dcterms:modified xsi:type="dcterms:W3CDTF">2022-01-24T09:15:00Z</dcterms:modified>
</cp:coreProperties>
</file>